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style1.xml" ContentType="application/vnd.ms-office.chartstyle+xml"/>
  <Override PartName="/word/charts/style2.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snapToGrid/>
        <w:spacing w:line="560" w:lineRule="exact"/>
        <w:ind w:firstLine="880" w:firstLineChars="200"/>
        <w:jc w:val="center"/>
        <w:textAlignment w:val="auto"/>
        <w:rPr>
          <w:rFonts w:ascii="方正小标宋简体" w:hAnsi="Times New Roman" w:eastAsia="方正小标宋简体" w:cs="Times New Roman"/>
          <w:sz w:val="44"/>
          <w:szCs w:val="44"/>
        </w:rPr>
      </w:pPr>
      <w:r>
        <w:rPr>
          <w:rFonts w:hint="eastAsia" w:ascii="方正小标宋简体" w:hAnsi="Times New Roman" w:eastAsia="方正小标宋简体" w:cs="方正小标宋简体"/>
          <w:sz w:val="44"/>
          <w:szCs w:val="44"/>
        </w:rPr>
        <w:t>大厂回族自治县</w:t>
      </w:r>
      <w:r>
        <w:rPr>
          <w:rFonts w:hint="eastAsia" w:ascii="方正小标宋简体" w:hAnsi="Times New Roman" w:eastAsia="方正小标宋简体" w:cs="方正小标宋简体"/>
          <w:sz w:val="44"/>
          <w:szCs w:val="44"/>
          <w:lang w:eastAsia="zh-CN"/>
        </w:rPr>
        <w:t>房产管理局</w:t>
      </w:r>
    </w:p>
    <w:p>
      <w:pPr>
        <w:keepNext w:val="0"/>
        <w:keepLines w:val="0"/>
        <w:pageBreakBefore w:val="0"/>
        <w:tabs>
          <w:tab w:val="center" w:pos="7385"/>
          <w:tab w:val="left" w:pos="11490"/>
        </w:tabs>
        <w:kinsoku/>
        <w:wordWrap/>
        <w:overflowPunct/>
        <w:topLinePunct w:val="0"/>
        <w:bidi w:val="0"/>
        <w:snapToGrid/>
        <w:spacing w:line="560" w:lineRule="exact"/>
        <w:ind w:firstLine="880" w:firstLineChars="200"/>
        <w:jc w:val="left"/>
        <w:textAlignment w:val="auto"/>
        <w:rPr>
          <w:rFonts w:ascii="方正小标宋简体" w:hAnsi="Times New Roman" w:eastAsia="方正小标宋简体" w:cs="Times New Roman"/>
          <w:sz w:val="44"/>
          <w:szCs w:val="44"/>
        </w:rPr>
      </w:pPr>
      <w:r>
        <w:rPr>
          <w:rFonts w:ascii="方正小标宋简体" w:hAnsi="Times New Roman" w:eastAsia="方正小标宋简体" w:cs="Times New Roman"/>
          <w:sz w:val="44"/>
          <w:szCs w:val="44"/>
        </w:rPr>
        <w:tab/>
      </w:r>
      <w:r>
        <w:rPr>
          <w:rFonts w:ascii="方正小标宋简体" w:hAnsi="Times New Roman" w:eastAsia="方正小标宋简体" w:cs="方正小标宋简体"/>
          <w:sz w:val="44"/>
          <w:szCs w:val="44"/>
        </w:rPr>
        <w:t>201</w:t>
      </w:r>
      <w:r>
        <w:rPr>
          <w:rFonts w:hint="eastAsia" w:ascii="方正小标宋简体" w:hAnsi="Times New Roman" w:eastAsia="方正小标宋简体" w:cs="方正小标宋简体"/>
          <w:sz w:val="44"/>
          <w:szCs w:val="44"/>
          <w:lang w:val="en-US" w:eastAsia="zh-CN"/>
        </w:rPr>
        <w:t>7</w:t>
      </w:r>
      <w:r>
        <w:rPr>
          <w:rFonts w:hint="eastAsia" w:ascii="方正小标宋简体" w:hAnsi="Times New Roman" w:eastAsia="方正小标宋简体" w:cs="方正小标宋简体"/>
          <w:sz w:val="44"/>
          <w:szCs w:val="44"/>
        </w:rPr>
        <w:t>年度部门决算信息公开</w:t>
      </w:r>
      <w:r>
        <w:rPr>
          <w:rFonts w:hint="eastAsia" w:ascii="方正小标宋简体" w:hAnsi="Times New Roman" w:eastAsia="方正小标宋简体" w:cs="方正小标宋简体"/>
          <w:sz w:val="44"/>
          <w:szCs w:val="44"/>
          <w:lang w:val="en-US" w:eastAsia="zh-CN"/>
        </w:rPr>
        <w:t xml:space="preserve"> </w:t>
      </w:r>
      <w:r>
        <w:rPr>
          <w:rFonts w:ascii="方正小标宋简体" w:hAnsi="Times New Roman" w:eastAsia="方正小标宋简体" w:cs="Times New Roman"/>
          <w:sz w:val="44"/>
          <w:szCs w:val="44"/>
        </w:rPr>
        <w:tab/>
      </w:r>
    </w:p>
    <w:p>
      <w:pPr>
        <w:keepNext w:val="0"/>
        <w:keepLines w:val="0"/>
        <w:pageBreakBefore w:val="0"/>
        <w:kinsoku/>
        <w:wordWrap/>
        <w:overflowPunct/>
        <w:topLinePunct w:val="0"/>
        <w:bidi w:val="0"/>
        <w:snapToGrid/>
        <w:spacing w:line="560" w:lineRule="exact"/>
        <w:ind w:firstLine="640" w:firstLineChars="200"/>
        <w:textAlignment w:val="auto"/>
        <w:rPr>
          <w:rFonts w:hint="eastAsia" w:ascii="仿宋_GB2312" w:hAnsi="仿宋" w:eastAsia="仿宋_GB2312"/>
          <w:sz w:val="32"/>
          <w:szCs w:val="32"/>
        </w:rPr>
      </w:pPr>
    </w:p>
    <w:p>
      <w:pPr>
        <w:keepNext w:val="0"/>
        <w:keepLines w:val="0"/>
        <w:pageBreakBefore w:val="0"/>
        <w:kinsoku/>
        <w:wordWrap/>
        <w:overflowPunct/>
        <w:topLinePunct w:val="0"/>
        <w:bidi w:val="0"/>
        <w:snapToGrid/>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按照《预算法》、《河北省财政厅关于印发&lt;河北省预算决算公开操作规程实施细则&gt;的通知》（冀财预[2016]129号）等规定，现将</w:t>
      </w:r>
      <w:r>
        <w:rPr>
          <w:rFonts w:hint="eastAsia" w:ascii="仿宋_GB2312" w:hAnsi="仿宋" w:eastAsia="仿宋_GB2312"/>
          <w:sz w:val="32"/>
          <w:szCs w:val="32"/>
          <w:lang w:eastAsia="zh-CN"/>
        </w:rPr>
        <w:t>大厂回族自治县房产管理局</w:t>
      </w:r>
      <w:r>
        <w:rPr>
          <w:rFonts w:hint="eastAsia" w:ascii="仿宋_GB2312" w:hAnsi="仿宋" w:eastAsia="仿宋_GB2312"/>
          <w:sz w:val="32"/>
          <w:szCs w:val="32"/>
        </w:rPr>
        <w:t>201</w:t>
      </w:r>
      <w:r>
        <w:rPr>
          <w:rFonts w:hint="eastAsia" w:ascii="仿宋_GB2312" w:hAnsi="仿宋" w:eastAsia="仿宋_GB2312"/>
          <w:sz w:val="32"/>
          <w:szCs w:val="32"/>
          <w:lang w:val="en-US" w:eastAsia="zh-CN"/>
        </w:rPr>
        <w:t>7</w:t>
      </w:r>
      <w:r>
        <w:rPr>
          <w:rFonts w:hint="eastAsia" w:ascii="仿宋_GB2312" w:hAnsi="仿宋" w:eastAsia="仿宋_GB2312"/>
          <w:sz w:val="32"/>
          <w:szCs w:val="32"/>
        </w:rPr>
        <w:t>年</w:t>
      </w:r>
      <w:r>
        <w:rPr>
          <w:rFonts w:hint="eastAsia" w:ascii="仿宋_GB2312" w:hAnsi="仿宋" w:eastAsia="仿宋_GB2312"/>
          <w:sz w:val="32"/>
          <w:szCs w:val="32"/>
          <w:lang w:eastAsia="zh-CN"/>
        </w:rPr>
        <w:t>度</w:t>
      </w:r>
      <w:r>
        <w:rPr>
          <w:rFonts w:hint="eastAsia" w:ascii="仿宋_GB2312" w:hAnsi="仿宋" w:eastAsia="仿宋_GB2312"/>
          <w:sz w:val="32"/>
          <w:szCs w:val="32"/>
        </w:rPr>
        <w:t>部门决算公开如下：</w:t>
      </w:r>
    </w:p>
    <w:p>
      <w:pPr>
        <w:keepNext w:val="0"/>
        <w:keepLines w:val="0"/>
        <w:pageBreakBefore w:val="0"/>
        <w:kinsoku/>
        <w:wordWrap/>
        <w:overflowPunct/>
        <w:topLinePunct w:val="0"/>
        <w:bidi w:val="0"/>
        <w:snapToGrid/>
        <w:spacing w:line="560" w:lineRule="exact"/>
        <w:textAlignment w:val="auto"/>
        <w:rPr>
          <w:rFonts w:ascii="黑体" w:hAnsi="黑体" w:eastAsia="黑体" w:cs="Times New Roman"/>
          <w:sz w:val="32"/>
          <w:szCs w:val="32"/>
        </w:rPr>
      </w:pPr>
      <w:r>
        <w:rPr>
          <w:rFonts w:hint="eastAsia" w:ascii="黑体" w:hAnsi="黑体" w:eastAsia="黑体" w:cs="黑体"/>
          <w:sz w:val="32"/>
          <w:szCs w:val="32"/>
          <w:lang w:eastAsia="zh-CN"/>
        </w:rPr>
        <w:t>第一部分</w:t>
      </w:r>
      <w:r>
        <w:rPr>
          <w:rFonts w:ascii="黑体" w:hAnsi="黑体" w:eastAsia="黑体" w:cs="黑体"/>
          <w:sz w:val="32"/>
          <w:szCs w:val="32"/>
        </w:rPr>
        <w:t xml:space="preserve"> </w:t>
      </w:r>
      <w:r>
        <w:rPr>
          <w:rFonts w:hint="eastAsia" w:ascii="黑体" w:hAnsi="黑体" w:eastAsia="黑体" w:cs="黑体"/>
          <w:sz w:val="32"/>
          <w:szCs w:val="32"/>
        </w:rPr>
        <w:t>、大厂回族自治县</w:t>
      </w:r>
      <w:r>
        <w:rPr>
          <w:rFonts w:hint="eastAsia" w:ascii="黑体" w:hAnsi="黑体" w:eastAsia="黑体" w:cs="黑体"/>
          <w:sz w:val="32"/>
          <w:szCs w:val="32"/>
          <w:lang w:eastAsia="zh-CN"/>
        </w:rPr>
        <w:t>房管局部门</w:t>
      </w:r>
      <w:r>
        <w:rPr>
          <w:rFonts w:hint="eastAsia" w:ascii="黑体" w:hAnsi="黑体" w:eastAsia="黑体" w:cs="黑体"/>
          <w:sz w:val="32"/>
          <w:szCs w:val="32"/>
        </w:rPr>
        <w:t>概况</w:t>
      </w:r>
    </w:p>
    <w:p>
      <w:pPr>
        <w:keepNext w:val="0"/>
        <w:keepLines w:val="0"/>
        <w:pageBreakBefore w:val="0"/>
        <w:numPr>
          <w:ilvl w:val="0"/>
          <w:numId w:val="0"/>
        </w:numPr>
        <w:kinsoku/>
        <w:wordWrap/>
        <w:overflowPunct/>
        <w:topLinePunct w:val="0"/>
        <w:bidi w:val="0"/>
        <w:snapToGrid/>
        <w:spacing w:line="560" w:lineRule="exact"/>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lang w:eastAsia="zh-CN"/>
        </w:rPr>
        <w:t>一、</w:t>
      </w:r>
      <w:r>
        <w:rPr>
          <w:rFonts w:hint="eastAsia" w:ascii="楷体" w:hAnsi="楷体" w:eastAsia="楷体" w:cs="楷体"/>
          <w:b/>
          <w:bCs/>
          <w:sz w:val="32"/>
          <w:szCs w:val="32"/>
        </w:rPr>
        <w:t>部门职责</w:t>
      </w:r>
    </w:p>
    <w:p>
      <w:pPr>
        <w:keepNext w:val="0"/>
        <w:keepLines w:val="0"/>
        <w:pageBreakBefore w:val="0"/>
        <w:kinsoku/>
        <w:wordWrap/>
        <w:overflowPunct/>
        <w:topLinePunct w:val="0"/>
        <w:bidi w:val="0"/>
        <w:snapToGrid/>
        <w:spacing w:line="560" w:lineRule="exact"/>
        <w:ind w:firstLine="640" w:firstLineChars="200"/>
        <w:textAlignment w:val="auto"/>
        <w:rPr>
          <w:rFonts w:hint="eastAsia" w:ascii="仿宋_GB2312" w:hAnsi="仿宋" w:eastAsia="仿宋_GB2312"/>
          <w:sz w:val="32"/>
          <w:szCs w:val="32"/>
          <w:lang w:eastAsia="zh-CN"/>
        </w:rPr>
      </w:pPr>
      <w:r>
        <w:rPr>
          <w:rFonts w:hint="eastAsia" w:ascii="仿宋_GB2312" w:hAnsi="仿宋" w:eastAsia="仿宋_GB2312"/>
          <w:sz w:val="32"/>
          <w:szCs w:val="32"/>
        </w:rPr>
        <w:t>1、宣传贯彻《中华人民共和国城市房地产管理法》，参照该法及有关法律、法规，制定适合我县实际情况的住房保障和房地产管理规章、管理办法等</w:t>
      </w:r>
      <w:r>
        <w:rPr>
          <w:rFonts w:hint="eastAsia" w:ascii="仿宋_GB2312" w:hAnsi="仿宋" w:eastAsia="仿宋_GB2312"/>
          <w:sz w:val="32"/>
          <w:szCs w:val="32"/>
          <w:lang w:eastAsia="zh-CN"/>
        </w:rPr>
        <w:t>。</w:t>
      </w:r>
    </w:p>
    <w:p>
      <w:pPr>
        <w:keepNext w:val="0"/>
        <w:keepLines w:val="0"/>
        <w:pageBreakBefore w:val="0"/>
        <w:kinsoku/>
        <w:wordWrap/>
        <w:overflowPunct/>
        <w:topLinePunct w:val="0"/>
        <w:bidi w:val="0"/>
        <w:snapToGrid/>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lang w:val="en-US" w:eastAsia="zh-CN"/>
        </w:rPr>
        <w:t>2、</w:t>
      </w:r>
      <w:r>
        <w:rPr>
          <w:rFonts w:hint="eastAsia" w:ascii="仿宋_GB2312" w:hAnsi="仿宋" w:eastAsia="仿宋_GB2312"/>
          <w:sz w:val="32"/>
          <w:szCs w:val="32"/>
        </w:rPr>
        <w:t>贯彻落实廉租住房保障制度，负责廉租住房的购建、维修管理、租赁补贴发放、经济适用住房项目前期准备和销售代理等事宜。</w:t>
      </w:r>
    </w:p>
    <w:p>
      <w:pPr>
        <w:keepNext w:val="0"/>
        <w:keepLines w:val="0"/>
        <w:pageBreakBefore w:val="0"/>
        <w:kinsoku/>
        <w:wordWrap/>
        <w:overflowPunct/>
        <w:topLinePunct w:val="0"/>
        <w:bidi w:val="0"/>
        <w:snapToGrid/>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lang w:val="en-US" w:eastAsia="zh-CN"/>
        </w:rPr>
        <w:t>3、</w:t>
      </w:r>
      <w:r>
        <w:rPr>
          <w:rFonts w:hint="eastAsia" w:ascii="仿宋_GB2312" w:hAnsi="仿宋" w:eastAsia="仿宋_GB2312"/>
          <w:sz w:val="32"/>
          <w:szCs w:val="32"/>
        </w:rPr>
        <w:t>负责全县房地产的行业管理工作。制定全县住宅建设计划、商品房开发计划，保障性住房建设计划，编制住宅建设、商品房开发、保障性住房建设的中、长期发展规划，并组织实施。</w:t>
      </w:r>
    </w:p>
    <w:p>
      <w:pPr>
        <w:keepNext w:val="0"/>
        <w:keepLines w:val="0"/>
        <w:pageBreakBefore w:val="0"/>
        <w:kinsoku/>
        <w:wordWrap/>
        <w:overflowPunct/>
        <w:topLinePunct w:val="0"/>
        <w:bidi w:val="0"/>
        <w:snapToGrid/>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lang w:val="en-US" w:eastAsia="zh-CN"/>
        </w:rPr>
        <w:t>4、</w:t>
      </w:r>
      <w:r>
        <w:rPr>
          <w:rFonts w:hint="eastAsia" w:ascii="仿宋_GB2312" w:hAnsi="仿宋" w:eastAsia="仿宋_GB2312"/>
          <w:sz w:val="32"/>
          <w:szCs w:val="32"/>
        </w:rPr>
        <w:t>负责对全县房地产开发企业资质的审查和商品房出售等经营行为的监督管理。</w:t>
      </w:r>
    </w:p>
    <w:p>
      <w:pPr>
        <w:keepNext w:val="0"/>
        <w:keepLines w:val="0"/>
        <w:pageBreakBefore w:val="0"/>
        <w:kinsoku/>
        <w:wordWrap/>
        <w:overflowPunct/>
        <w:topLinePunct w:val="0"/>
        <w:bidi w:val="0"/>
        <w:snapToGrid/>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lang w:val="en-US" w:eastAsia="zh-CN"/>
        </w:rPr>
        <w:t>5、</w:t>
      </w:r>
      <w:r>
        <w:rPr>
          <w:rFonts w:hint="eastAsia" w:ascii="仿宋_GB2312" w:hAnsi="仿宋" w:eastAsia="仿宋_GB2312"/>
          <w:sz w:val="32"/>
          <w:szCs w:val="32"/>
        </w:rPr>
        <w:t>负责全县房屋产权产籍的管理工作，制定我县房屋产权产籍的管理办法，办理全县范围内的房屋确权发证工作。</w:t>
      </w:r>
    </w:p>
    <w:p>
      <w:pPr>
        <w:keepNext w:val="0"/>
        <w:keepLines w:val="0"/>
        <w:pageBreakBefore w:val="0"/>
        <w:kinsoku/>
        <w:wordWrap/>
        <w:overflowPunct/>
        <w:topLinePunct w:val="0"/>
        <w:bidi w:val="0"/>
        <w:snapToGrid/>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lang w:val="en-US" w:eastAsia="zh-CN"/>
        </w:rPr>
        <w:t>6、</w:t>
      </w:r>
      <w:r>
        <w:rPr>
          <w:rFonts w:hint="eastAsia" w:ascii="仿宋_GB2312" w:hAnsi="仿宋" w:eastAsia="仿宋_GB2312"/>
          <w:sz w:val="32"/>
          <w:szCs w:val="32"/>
        </w:rPr>
        <w:t>管理全县房地产交易市场，制定全县房地产交易市场管理办法、规章等，规范房地产交易行为，办理全县范围内的房地产交易、评估抵押及租赁备案事宜。</w:t>
      </w:r>
    </w:p>
    <w:p>
      <w:pPr>
        <w:keepNext w:val="0"/>
        <w:keepLines w:val="0"/>
        <w:pageBreakBefore w:val="0"/>
        <w:kinsoku/>
        <w:wordWrap/>
        <w:overflowPunct/>
        <w:topLinePunct w:val="0"/>
        <w:bidi w:val="0"/>
        <w:snapToGrid/>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lang w:val="en-US" w:eastAsia="zh-CN"/>
        </w:rPr>
        <w:t>7、</w:t>
      </w:r>
      <w:r>
        <w:rPr>
          <w:rFonts w:hint="eastAsia" w:ascii="仿宋_GB2312" w:hAnsi="仿宋" w:eastAsia="仿宋_GB2312"/>
          <w:sz w:val="32"/>
          <w:szCs w:val="32"/>
        </w:rPr>
        <w:t>负责全县房产测绘工作和各种房产薄册、数据、图集的收集、保存及归档工作。</w:t>
      </w:r>
    </w:p>
    <w:p>
      <w:pPr>
        <w:keepNext w:val="0"/>
        <w:keepLines w:val="0"/>
        <w:pageBreakBefore w:val="0"/>
        <w:kinsoku/>
        <w:wordWrap/>
        <w:overflowPunct/>
        <w:topLinePunct w:val="0"/>
        <w:bidi w:val="0"/>
        <w:snapToGrid/>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lang w:val="en-US" w:eastAsia="zh-CN"/>
        </w:rPr>
        <w:t>8、</w:t>
      </w:r>
      <w:r>
        <w:rPr>
          <w:rFonts w:hint="eastAsia" w:ascii="仿宋_GB2312" w:hAnsi="仿宋" w:eastAsia="仿宋_GB2312"/>
          <w:sz w:val="32"/>
          <w:szCs w:val="32"/>
        </w:rPr>
        <w:t>负责调解和配合有关部门仲裁房地产纠纷，制止和纠正住房中违法行为，并依法查处房屋使用、交易和房地产开发方面的违法违规案件。</w:t>
      </w:r>
    </w:p>
    <w:p>
      <w:pPr>
        <w:keepNext w:val="0"/>
        <w:keepLines w:val="0"/>
        <w:pageBreakBefore w:val="0"/>
        <w:kinsoku/>
        <w:wordWrap/>
        <w:overflowPunct/>
        <w:topLinePunct w:val="0"/>
        <w:bidi w:val="0"/>
        <w:snapToGrid/>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lang w:val="en-US" w:eastAsia="zh-CN"/>
        </w:rPr>
        <w:t>9、</w:t>
      </w:r>
      <w:r>
        <w:rPr>
          <w:rFonts w:hint="eastAsia" w:ascii="仿宋_GB2312" w:hAnsi="仿宋" w:eastAsia="仿宋_GB2312"/>
          <w:sz w:val="32"/>
          <w:szCs w:val="32"/>
        </w:rPr>
        <w:t>负责物业服务企业的资质管理和行业管理及企业招投标活动，对企业的经营和服务行为进行监督、检查，并依法查处物业服务活动中的违法违规行为。</w:t>
      </w:r>
    </w:p>
    <w:p>
      <w:pPr>
        <w:keepNext w:val="0"/>
        <w:keepLines w:val="0"/>
        <w:pageBreakBefore w:val="0"/>
        <w:kinsoku/>
        <w:wordWrap/>
        <w:overflowPunct/>
        <w:topLinePunct w:val="0"/>
        <w:bidi w:val="0"/>
        <w:snapToGrid/>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lang w:val="en-US" w:eastAsia="zh-CN"/>
        </w:rPr>
        <w:t>10、</w:t>
      </w:r>
      <w:r>
        <w:rPr>
          <w:rFonts w:hint="eastAsia" w:ascii="仿宋_GB2312" w:hAnsi="仿宋" w:eastAsia="仿宋_GB2312"/>
          <w:sz w:val="32"/>
          <w:szCs w:val="32"/>
        </w:rPr>
        <w:t>负责住宅专项维修基金的缴存、使用、管理工作。</w:t>
      </w:r>
    </w:p>
    <w:p>
      <w:pPr>
        <w:keepNext w:val="0"/>
        <w:keepLines w:val="0"/>
        <w:pageBreakBefore w:val="0"/>
        <w:kinsoku/>
        <w:wordWrap/>
        <w:overflowPunct/>
        <w:topLinePunct w:val="0"/>
        <w:bidi w:val="0"/>
        <w:snapToGrid/>
        <w:spacing w:line="560" w:lineRule="exact"/>
        <w:ind w:firstLine="640" w:firstLineChars="200"/>
        <w:textAlignment w:val="auto"/>
        <w:rPr>
          <w:rFonts w:ascii="仿宋" w:hAnsi="仿宋" w:eastAsia="仿宋" w:cs="Times New Roman"/>
          <w:sz w:val="32"/>
          <w:szCs w:val="32"/>
        </w:rPr>
      </w:pPr>
      <w:r>
        <w:rPr>
          <w:rFonts w:hint="eastAsia" w:ascii="仿宋_GB2312" w:hAnsi="仿宋" w:eastAsia="仿宋_GB2312"/>
          <w:sz w:val="32"/>
          <w:szCs w:val="32"/>
          <w:lang w:val="en-US" w:eastAsia="zh-CN"/>
        </w:rPr>
        <w:t>11、</w:t>
      </w:r>
      <w:r>
        <w:rPr>
          <w:rFonts w:hint="eastAsia" w:ascii="仿宋_GB2312" w:hAnsi="仿宋" w:eastAsia="仿宋_GB2312"/>
          <w:sz w:val="32"/>
          <w:szCs w:val="32"/>
        </w:rPr>
        <w:t>负责组织城镇国有土地上的房屋进行安全鉴定，协助房屋所在地相关部门督促房屋所有人治理危险房屋。</w:t>
      </w:r>
    </w:p>
    <w:p>
      <w:pPr>
        <w:keepNext w:val="0"/>
        <w:keepLines w:val="0"/>
        <w:pageBreakBefore w:val="0"/>
        <w:numPr>
          <w:ilvl w:val="0"/>
          <w:numId w:val="0"/>
        </w:numPr>
        <w:kinsoku/>
        <w:wordWrap/>
        <w:overflowPunct/>
        <w:topLinePunct w:val="0"/>
        <w:bidi w:val="0"/>
        <w:snapToGrid/>
        <w:spacing w:line="560" w:lineRule="exact"/>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lang w:eastAsia="zh-CN"/>
        </w:rPr>
        <w:t>二、部门决算单位构成</w:t>
      </w:r>
      <w:r>
        <w:rPr>
          <w:rFonts w:hint="eastAsia" w:ascii="楷体" w:hAnsi="楷体" w:eastAsia="楷体" w:cs="楷体"/>
          <w:b/>
          <w:bCs/>
          <w:sz w:val="32"/>
          <w:szCs w:val="32"/>
        </w:rPr>
        <w:t>：</w:t>
      </w:r>
    </w:p>
    <w:p>
      <w:pPr>
        <w:keepNext w:val="0"/>
        <w:keepLines w:val="0"/>
        <w:pageBreakBefore w:val="0"/>
        <w:kinsoku/>
        <w:wordWrap/>
        <w:overflowPunct/>
        <w:topLinePunct w:val="0"/>
        <w:bidi w:val="0"/>
        <w:snapToGrid/>
        <w:spacing w:line="560" w:lineRule="exact"/>
        <w:ind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2017年度，纳入本部门决算汇编范围的独立核算单位（以下简称“单位”）共一个，是大厂回族自治县房产管理局。</w:t>
      </w:r>
    </w:p>
    <w:p>
      <w:pPr>
        <w:keepNext w:val="0"/>
        <w:keepLines w:val="0"/>
        <w:pageBreakBefore w:val="0"/>
        <w:kinsoku/>
        <w:wordWrap/>
        <w:overflowPunct/>
        <w:topLinePunct w:val="0"/>
        <w:bidi w:val="0"/>
        <w:snapToGrid/>
        <w:spacing w:line="560" w:lineRule="exact"/>
        <w:jc w:val="center"/>
        <w:textAlignment w:val="auto"/>
        <w:outlineLvl w:val="0"/>
        <w:rPr>
          <w:rFonts w:ascii="Times New Roman" w:hAnsi="Times New Roman" w:eastAsia="方正小标宋_GBK" w:cs="Times New Roman"/>
          <w:sz w:val="32"/>
          <w:szCs w:val="32"/>
        </w:rPr>
      </w:pPr>
      <w:r>
        <w:rPr>
          <w:rFonts w:hint="eastAsia" w:ascii="Times New Roman" w:hAnsi="Times New Roman" w:eastAsia="方正小标宋_GBK" w:cs="方正小标宋_GBK"/>
          <w:sz w:val="32"/>
          <w:szCs w:val="32"/>
        </w:rPr>
        <w:t>部门机构设置情况</w:t>
      </w:r>
    </w:p>
    <w:tbl>
      <w:tblPr>
        <w:tblStyle w:val="8"/>
        <w:tblW w:w="13880" w:type="dxa"/>
        <w:tblInd w:w="-10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778"/>
        <w:gridCol w:w="2285"/>
        <w:gridCol w:w="2418"/>
        <w:gridCol w:w="339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00" w:hRule="atLeast"/>
          <w:tblHeader/>
        </w:trPr>
        <w:tc>
          <w:tcPr>
            <w:tcW w:w="5778" w:type="dxa"/>
            <w:vMerge w:val="restart"/>
            <w:vAlign w:val="center"/>
          </w:tcPr>
          <w:p>
            <w:pPr>
              <w:keepNext w:val="0"/>
              <w:keepLines w:val="0"/>
              <w:pageBreakBefore w:val="0"/>
              <w:kinsoku/>
              <w:wordWrap/>
              <w:overflowPunct/>
              <w:topLinePunct w:val="0"/>
              <w:bidi w:val="0"/>
              <w:snapToGrid/>
              <w:spacing w:line="560" w:lineRule="exact"/>
              <w:jc w:val="center"/>
              <w:textAlignment w:val="auto"/>
              <w:rPr>
                <w:rFonts w:ascii="仿宋" w:hAnsi="仿宋" w:eastAsia="仿宋" w:cs="Times New Roman"/>
                <w:b/>
                <w:bCs/>
                <w:sz w:val="30"/>
                <w:szCs w:val="30"/>
              </w:rPr>
            </w:pPr>
            <w:r>
              <w:rPr>
                <w:rFonts w:hint="eastAsia" w:ascii="仿宋" w:hAnsi="仿宋" w:eastAsia="仿宋" w:cs="仿宋"/>
                <w:b/>
                <w:bCs/>
                <w:sz w:val="30"/>
                <w:szCs w:val="30"/>
              </w:rPr>
              <w:t>单位名称</w:t>
            </w:r>
          </w:p>
        </w:tc>
        <w:tc>
          <w:tcPr>
            <w:tcW w:w="2285" w:type="dxa"/>
            <w:vMerge w:val="restart"/>
            <w:vAlign w:val="center"/>
          </w:tcPr>
          <w:p>
            <w:pPr>
              <w:keepNext w:val="0"/>
              <w:keepLines w:val="0"/>
              <w:pageBreakBefore w:val="0"/>
              <w:kinsoku/>
              <w:wordWrap/>
              <w:overflowPunct/>
              <w:topLinePunct w:val="0"/>
              <w:bidi w:val="0"/>
              <w:snapToGrid/>
              <w:spacing w:line="560" w:lineRule="exact"/>
              <w:jc w:val="center"/>
              <w:textAlignment w:val="auto"/>
              <w:rPr>
                <w:rFonts w:ascii="仿宋" w:hAnsi="仿宋" w:eastAsia="仿宋" w:cs="Times New Roman"/>
                <w:b/>
                <w:bCs/>
                <w:sz w:val="30"/>
                <w:szCs w:val="30"/>
              </w:rPr>
            </w:pPr>
            <w:r>
              <w:rPr>
                <w:rFonts w:hint="eastAsia" w:ascii="仿宋" w:hAnsi="仿宋" w:eastAsia="仿宋" w:cs="仿宋"/>
                <w:b/>
                <w:bCs/>
                <w:sz w:val="30"/>
                <w:szCs w:val="30"/>
              </w:rPr>
              <w:t>单位性质</w:t>
            </w:r>
          </w:p>
        </w:tc>
        <w:tc>
          <w:tcPr>
            <w:tcW w:w="2418" w:type="dxa"/>
            <w:vMerge w:val="restart"/>
            <w:vAlign w:val="center"/>
          </w:tcPr>
          <w:p>
            <w:pPr>
              <w:keepNext w:val="0"/>
              <w:keepLines w:val="0"/>
              <w:pageBreakBefore w:val="0"/>
              <w:kinsoku/>
              <w:wordWrap/>
              <w:overflowPunct/>
              <w:topLinePunct w:val="0"/>
              <w:bidi w:val="0"/>
              <w:snapToGrid/>
              <w:spacing w:line="560" w:lineRule="exact"/>
              <w:jc w:val="center"/>
              <w:textAlignment w:val="auto"/>
              <w:rPr>
                <w:rFonts w:ascii="仿宋" w:hAnsi="仿宋" w:eastAsia="仿宋" w:cs="Times New Roman"/>
                <w:b/>
                <w:bCs/>
                <w:sz w:val="30"/>
                <w:szCs w:val="30"/>
              </w:rPr>
            </w:pPr>
            <w:r>
              <w:rPr>
                <w:rFonts w:hint="eastAsia" w:ascii="仿宋" w:hAnsi="仿宋" w:eastAsia="仿宋" w:cs="仿宋"/>
                <w:b/>
                <w:bCs/>
                <w:sz w:val="30"/>
                <w:szCs w:val="30"/>
              </w:rPr>
              <w:t>单位规格</w:t>
            </w:r>
          </w:p>
        </w:tc>
        <w:tc>
          <w:tcPr>
            <w:tcW w:w="3399" w:type="dxa"/>
            <w:vMerge w:val="restart"/>
            <w:vAlign w:val="center"/>
          </w:tcPr>
          <w:p>
            <w:pPr>
              <w:keepNext w:val="0"/>
              <w:keepLines w:val="0"/>
              <w:pageBreakBefore w:val="0"/>
              <w:kinsoku/>
              <w:wordWrap/>
              <w:overflowPunct/>
              <w:topLinePunct w:val="0"/>
              <w:bidi w:val="0"/>
              <w:snapToGrid/>
              <w:spacing w:line="560" w:lineRule="exact"/>
              <w:jc w:val="center"/>
              <w:textAlignment w:val="auto"/>
              <w:rPr>
                <w:rFonts w:ascii="仿宋" w:hAnsi="仿宋" w:eastAsia="仿宋" w:cs="Times New Roman"/>
                <w:b/>
                <w:bCs/>
                <w:sz w:val="30"/>
                <w:szCs w:val="30"/>
              </w:rPr>
            </w:pPr>
            <w:r>
              <w:rPr>
                <w:rFonts w:hint="eastAsia" w:ascii="仿宋" w:hAnsi="仿宋" w:eastAsia="仿宋" w:cs="仿宋"/>
                <w:b/>
                <w:bCs/>
                <w:sz w:val="30"/>
                <w:szCs w:val="30"/>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00" w:hRule="atLeast"/>
          <w:tblHeader/>
        </w:trPr>
        <w:tc>
          <w:tcPr>
            <w:tcW w:w="5778" w:type="dxa"/>
            <w:vMerge w:val="continue"/>
            <w:vAlign w:val="center"/>
          </w:tcPr>
          <w:p>
            <w:pPr>
              <w:keepNext w:val="0"/>
              <w:keepLines w:val="0"/>
              <w:pageBreakBefore w:val="0"/>
              <w:kinsoku/>
              <w:wordWrap/>
              <w:overflowPunct/>
              <w:topLinePunct w:val="0"/>
              <w:bidi w:val="0"/>
              <w:snapToGrid/>
              <w:spacing w:line="560" w:lineRule="exact"/>
              <w:jc w:val="left"/>
              <w:textAlignment w:val="auto"/>
              <w:outlineLvl w:val="0"/>
              <w:rPr>
                <w:rFonts w:ascii="仿宋" w:hAnsi="仿宋" w:eastAsia="仿宋" w:cs="Times New Roman"/>
                <w:sz w:val="30"/>
                <w:szCs w:val="30"/>
              </w:rPr>
            </w:pPr>
          </w:p>
        </w:tc>
        <w:tc>
          <w:tcPr>
            <w:tcW w:w="2285" w:type="dxa"/>
            <w:vMerge w:val="continue"/>
            <w:vAlign w:val="center"/>
          </w:tcPr>
          <w:p>
            <w:pPr>
              <w:keepNext w:val="0"/>
              <w:keepLines w:val="0"/>
              <w:pageBreakBefore w:val="0"/>
              <w:kinsoku/>
              <w:wordWrap/>
              <w:overflowPunct/>
              <w:topLinePunct w:val="0"/>
              <w:bidi w:val="0"/>
              <w:snapToGrid/>
              <w:spacing w:line="560" w:lineRule="exact"/>
              <w:jc w:val="left"/>
              <w:textAlignment w:val="auto"/>
              <w:outlineLvl w:val="0"/>
              <w:rPr>
                <w:rFonts w:ascii="仿宋" w:hAnsi="仿宋" w:eastAsia="仿宋" w:cs="Times New Roman"/>
                <w:sz w:val="30"/>
                <w:szCs w:val="30"/>
              </w:rPr>
            </w:pPr>
          </w:p>
        </w:tc>
        <w:tc>
          <w:tcPr>
            <w:tcW w:w="2418" w:type="dxa"/>
            <w:vMerge w:val="continue"/>
            <w:vAlign w:val="center"/>
          </w:tcPr>
          <w:p>
            <w:pPr>
              <w:keepNext w:val="0"/>
              <w:keepLines w:val="0"/>
              <w:pageBreakBefore w:val="0"/>
              <w:kinsoku/>
              <w:wordWrap/>
              <w:overflowPunct/>
              <w:topLinePunct w:val="0"/>
              <w:bidi w:val="0"/>
              <w:snapToGrid/>
              <w:spacing w:line="560" w:lineRule="exact"/>
              <w:jc w:val="left"/>
              <w:textAlignment w:val="auto"/>
              <w:outlineLvl w:val="0"/>
              <w:rPr>
                <w:rFonts w:ascii="仿宋" w:hAnsi="仿宋" w:eastAsia="仿宋" w:cs="Times New Roman"/>
                <w:sz w:val="30"/>
                <w:szCs w:val="30"/>
              </w:rPr>
            </w:pPr>
          </w:p>
        </w:tc>
        <w:tc>
          <w:tcPr>
            <w:tcW w:w="3399" w:type="dxa"/>
            <w:vMerge w:val="continue"/>
            <w:vAlign w:val="center"/>
          </w:tcPr>
          <w:p>
            <w:pPr>
              <w:keepNext w:val="0"/>
              <w:keepLines w:val="0"/>
              <w:pageBreakBefore w:val="0"/>
              <w:kinsoku/>
              <w:wordWrap/>
              <w:overflowPunct/>
              <w:topLinePunct w:val="0"/>
              <w:bidi w:val="0"/>
              <w:snapToGrid/>
              <w:spacing w:line="560" w:lineRule="exact"/>
              <w:jc w:val="left"/>
              <w:textAlignment w:val="auto"/>
              <w:outlineLvl w:val="0"/>
              <w:rPr>
                <w:rFonts w:ascii="仿宋" w:hAnsi="仿宋" w:eastAsia="仿宋" w:cs="Times New Roman"/>
                <w:sz w:val="30"/>
                <w:szCs w:val="3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16" w:hRule="atLeast"/>
        </w:trPr>
        <w:tc>
          <w:tcPr>
            <w:tcW w:w="5778" w:type="dxa"/>
            <w:vAlign w:val="center"/>
          </w:tcPr>
          <w:p>
            <w:pPr>
              <w:keepNext w:val="0"/>
              <w:keepLines w:val="0"/>
              <w:pageBreakBefore w:val="0"/>
              <w:kinsoku/>
              <w:wordWrap/>
              <w:overflowPunct/>
              <w:topLinePunct w:val="0"/>
              <w:bidi w:val="0"/>
              <w:snapToGrid/>
              <w:spacing w:line="560" w:lineRule="exact"/>
              <w:jc w:val="center"/>
              <w:textAlignment w:val="auto"/>
              <w:rPr>
                <w:rFonts w:ascii="仿宋" w:hAnsi="仿宋" w:eastAsia="仿宋" w:cs="Times New Roman"/>
                <w:sz w:val="30"/>
                <w:szCs w:val="30"/>
              </w:rPr>
            </w:pPr>
            <w:r>
              <w:rPr>
                <w:rFonts w:hint="eastAsia" w:ascii="仿宋" w:hAnsi="仿宋" w:eastAsia="仿宋" w:cs="仿宋"/>
                <w:sz w:val="30"/>
                <w:szCs w:val="30"/>
              </w:rPr>
              <w:t>大厂回族自治县</w:t>
            </w:r>
            <w:r>
              <w:rPr>
                <w:rFonts w:hint="eastAsia" w:ascii="仿宋" w:hAnsi="仿宋" w:eastAsia="仿宋" w:cs="仿宋"/>
                <w:sz w:val="30"/>
                <w:szCs w:val="30"/>
                <w:lang w:eastAsia="zh-CN"/>
              </w:rPr>
              <w:t>房产管理局</w:t>
            </w:r>
          </w:p>
        </w:tc>
        <w:tc>
          <w:tcPr>
            <w:tcW w:w="2285" w:type="dxa"/>
            <w:vAlign w:val="center"/>
          </w:tcPr>
          <w:p>
            <w:pPr>
              <w:keepNext w:val="0"/>
              <w:keepLines w:val="0"/>
              <w:pageBreakBefore w:val="0"/>
              <w:kinsoku/>
              <w:wordWrap/>
              <w:overflowPunct/>
              <w:topLinePunct w:val="0"/>
              <w:bidi w:val="0"/>
              <w:snapToGrid/>
              <w:spacing w:line="560" w:lineRule="exact"/>
              <w:jc w:val="center"/>
              <w:textAlignment w:val="auto"/>
              <w:rPr>
                <w:rFonts w:hint="eastAsia" w:ascii="仿宋" w:hAnsi="仿宋" w:eastAsia="仿宋" w:cs="Times New Roman"/>
                <w:sz w:val="30"/>
                <w:szCs w:val="30"/>
                <w:lang w:eastAsia="zh-CN"/>
              </w:rPr>
            </w:pPr>
            <w:r>
              <w:rPr>
                <w:rFonts w:hint="eastAsia" w:ascii="仿宋" w:hAnsi="仿宋" w:eastAsia="仿宋" w:cs="仿宋"/>
                <w:sz w:val="30"/>
                <w:szCs w:val="30"/>
                <w:lang w:eastAsia="zh-CN"/>
              </w:rPr>
              <w:t>事业</w:t>
            </w:r>
          </w:p>
        </w:tc>
        <w:tc>
          <w:tcPr>
            <w:tcW w:w="2418" w:type="dxa"/>
            <w:vAlign w:val="center"/>
          </w:tcPr>
          <w:p>
            <w:pPr>
              <w:keepNext w:val="0"/>
              <w:keepLines w:val="0"/>
              <w:pageBreakBefore w:val="0"/>
              <w:kinsoku/>
              <w:wordWrap/>
              <w:overflowPunct/>
              <w:topLinePunct w:val="0"/>
              <w:bidi w:val="0"/>
              <w:snapToGrid/>
              <w:spacing w:line="560" w:lineRule="exact"/>
              <w:jc w:val="center"/>
              <w:textAlignment w:val="auto"/>
              <w:rPr>
                <w:rFonts w:ascii="仿宋" w:hAnsi="仿宋" w:eastAsia="仿宋" w:cs="Times New Roman"/>
                <w:sz w:val="30"/>
                <w:szCs w:val="30"/>
              </w:rPr>
            </w:pPr>
            <w:r>
              <w:rPr>
                <w:rFonts w:hint="eastAsia" w:ascii="仿宋" w:hAnsi="仿宋" w:eastAsia="仿宋" w:cs="仿宋"/>
                <w:sz w:val="30"/>
                <w:szCs w:val="30"/>
              </w:rPr>
              <w:t>正科级</w:t>
            </w:r>
          </w:p>
        </w:tc>
        <w:tc>
          <w:tcPr>
            <w:tcW w:w="3399" w:type="dxa"/>
            <w:vAlign w:val="center"/>
          </w:tcPr>
          <w:p>
            <w:pPr>
              <w:keepNext w:val="0"/>
              <w:keepLines w:val="0"/>
              <w:pageBreakBefore w:val="0"/>
              <w:kinsoku/>
              <w:wordWrap/>
              <w:overflowPunct/>
              <w:topLinePunct w:val="0"/>
              <w:bidi w:val="0"/>
              <w:snapToGrid/>
              <w:spacing w:line="560" w:lineRule="exact"/>
              <w:jc w:val="center"/>
              <w:textAlignment w:val="auto"/>
              <w:rPr>
                <w:rFonts w:ascii="仿宋" w:hAnsi="仿宋" w:eastAsia="仿宋" w:cs="Times New Roman"/>
                <w:sz w:val="30"/>
                <w:szCs w:val="30"/>
              </w:rPr>
            </w:pPr>
            <w:r>
              <w:rPr>
                <w:rFonts w:hint="eastAsia" w:ascii="仿宋" w:hAnsi="仿宋" w:eastAsia="仿宋" w:cs="仿宋"/>
                <w:sz w:val="30"/>
                <w:szCs w:val="30"/>
              </w:rPr>
              <w:t>财政拨款</w:t>
            </w:r>
          </w:p>
        </w:tc>
      </w:tr>
    </w:tbl>
    <w:p>
      <w:pPr>
        <w:pStyle w:val="6"/>
        <w:keepNext w:val="0"/>
        <w:keepLines w:val="0"/>
        <w:pageBreakBefore w:val="0"/>
        <w:widowControl/>
        <w:numPr>
          <w:ilvl w:val="0"/>
          <w:numId w:val="1"/>
        </w:numPr>
        <w:shd w:val="clear" w:color="auto" w:fill="FFFFFF"/>
        <w:kinsoku/>
        <w:wordWrap/>
        <w:overflowPunct/>
        <w:topLinePunct w:val="0"/>
        <w:autoSpaceDE/>
        <w:autoSpaceDN/>
        <w:bidi w:val="0"/>
        <w:adjustRightInd/>
        <w:snapToGrid/>
        <w:spacing w:before="0" w:beforeAutospacing="0" w:after="0" w:afterAutospacing="0" w:line="560" w:lineRule="exact"/>
        <w:ind w:firstLine="0"/>
        <w:textAlignment w:val="auto"/>
        <w:outlineLvl w:val="9"/>
        <w:rPr>
          <w:rFonts w:hint="eastAsia" w:ascii="黑体" w:hAnsi="黑体" w:eastAsia="黑体" w:cs="黑体"/>
          <w:sz w:val="32"/>
          <w:szCs w:val="32"/>
        </w:rPr>
      </w:pPr>
      <w:r>
        <w:rPr>
          <w:rFonts w:hint="eastAsia" w:ascii="黑体" w:hAnsi="黑体" w:eastAsia="黑体" w:cs="黑体"/>
          <w:sz w:val="32"/>
          <w:szCs w:val="32"/>
        </w:rPr>
        <w:t>大厂回族自治县</w:t>
      </w:r>
      <w:r>
        <w:rPr>
          <w:rFonts w:hint="eastAsia" w:ascii="黑体" w:hAnsi="黑体" w:eastAsia="黑体" w:cs="黑体"/>
          <w:sz w:val="32"/>
          <w:szCs w:val="32"/>
          <w:lang w:eastAsia="zh-CN"/>
        </w:rPr>
        <w:t>房管局</w:t>
      </w:r>
      <w:r>
        <w:rPr>
          <w:rFonts w:ascii="黑体" w:hAnsi="黑体" w:eastAsia="黑体" w:cs="黑体"/>
          <w:sz w:val="32"/>
          <w:szCs w:val="32"/>
        </w:rPr>
        <w:t>201</w:t>
      </w:r>
      <w:r>
        <w:rPr>
          <w:rFonts w:hint="eastAsia" w:ascii="黑体" w:hAnsi="黑体" w:eastAsia="黑体" w:cs="黑体"/>
          <w:sz w:val="32"/>
          <w:szCs w:val="32"/>
          <w:lang w:val="en-US" w:eastAsia="zh-CN"/>
        </w:rPr>
        <w:t>7</w:t>
      </w:r>
      <w:r>
        <w:rPr>
          <w:rFonts w:hint="eastAsia" w:ascii="黑体" w:hAnsi="黑体" w:eastAsia="黑体" w:cs="黑体"/>
          <w:sz w:val="32"/>
          <w:szCs w:val="32"/>
        </w:rPr>
        <w:t>年度部门决算报表</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1285" w:firstLineChars="400"/>
        <w:textAlignment w:val="auto"/>
        <w:outlineLvl w:val="9"/>
        <w:rPr>
          <w:rFonts w:hint="eastAsia" w:ascii="楷体" w:hAnsi="楷体" w:eastAsia="楷体" w:cs="楷体"/>
          <w:b/>
          <w:bCs/>
          <w:kern w:val="2"/>
          <w:sz w:val="32"/>
          <w:szCs w:val="32"/>
        </w:rPr>
      </w:pPr>
      <w:r>
        <w:rPr>
          <w:rFonts w:hint="eastAsia" w:ascii="楷体" w:hAnsi="楷体" w:eastAsia="楷体" w:cs="楷体"/>
          <w:b/>
          <w:bCs/>
          <w:kern w:val="2"/>
          <w:sz w:val="32"/>
          <w:szCs w:val="32"/>
        </w:rPr>
        <w:t>（详见附件）</w:t>
      </w:r>
    </w:p>
    <w:p>
      <w:pPr>
        <w:pStyle w:val="6"/>
        <w:keepNext w:val="0"/>
        <w:keepLines w:val="0"/>
        <w:pageBreakBefore w:val="0"/>
        <w:shd w:val="clear" w:color="auto" w:fill="FFFFFF"/>
        <w:kinsoku/>
        <w:wordWrap/>
        <w:overflowPunct/>
        <w:topLinePunct w:val="0"/>
        <w:bidi w:val="0"/>
        <w:snapToGrid/>
        <w:spacing w:before="0" w:beforeAutospacing="0" w:after="0" w:afterAutospacing="0" w:line="560" w:lineRule="exact"/>
        <w:textAlignment w:val="auto"/>
        <w:rPr>
          <w:rFonts w:hint="eastAsia" w:ascii="黑体" w:hAnsi="黑体" w:eastAsia="黑体" w:cs="黑体"/>
          <w:sz w:val="32"/>
          <w:szCs w:val="32"/>
        </w:rPr>
      </w:pPr>
      <w:r>
        <w:rPr>
          <w:rFonts w:hint="eastAsia" w:ascii="黑体" w:hAnsi="黑体" w:eastAsia="黑体" w:cs="黑体"/>
          <w:sz w:val="32"/>
          <w:szCs w:val="32"/>
          <w:lang w:eastAsia="zh-CN"/>
        </w:rPr>
        <w:t>第</w:t>
      </w:r>
      <w:r>
        <w:rPr>
          <w:rFonts w:hint="eastAsia" w:ascii="黑体" w:hAnsi="黑体" w:eastAsia="黑体" w:cs="黑体"/>
          <w:sz w:val="32"/>
          <w:szCs w:val="32"/>
        </w:rPr>
        <w:t>三</w:t>
      </w:r>
      <w:r>
        <w:rPr>
          <w:rFonts w:hint="eastAsia" w:ascii="黑体" w:hAnsi="黑体" w:eastAsia="黑体" w:cs="黑体"/>
          <w:sz w:val="32"/>
          <w:szCs w:val="32"/>
          <w:lang w:eastAsia="zh-CN"/>
        </w:rPr>
        <w:t>部分</w:t>
      </w:r>
      <w:r>
        <w:rPr>
          <w:rFonts w:hint="eastAsia" w:ascii="黑体" w:hAnsi="黑体" w:eastAsia="黑体" w:cs="黑体"/>
          <w:sz w:val="32"/>
          <w:szCs w:val="32"/>
        </w:rPr>
        <w:t>、大厂回族自治县</w:t>
      </w:r>
      <w:r>
        <w:rPr>
          <w:rFonts w:hint="eastAsia" w:ascii="黑体" w:hAnsi="黑体" w:eastAsia="黑体" w:cs="黑体"/>
          <w:sz w:val="32"/>
          <w:szCs w:val="32"/>
          <w:lang w:eastAsia="zh-CN"/>
        </w:rPr>
        <w:t>房管局</w:t>
      </w:r>
      <w:r>
        <w:rPr>
          <w:rFonts w:ascii="黑体" w:hAnsi="黑体" w:eastAsia="黑体" w:cs="黑体"/>
          <w:sz w:val="32"/>
          <w:szCs w:val="32"/>
        </w:rPr>
        <w:t>201</w:t>
      </w:r>
      <w:r>
        <w:rPr>
          <w:rFonts w:hint="eastAsia" w:ascii="黑体" w:hAnsi="黑体" w:eastAsia="黑体" w:cs="黑体"/>
          <w:sz w:val="32"/>
          <w:szCs w:val="32"/>
          <w:lang w:val="en-US" w:eastAsia="zh-CN"/>
        </w:rPr>
        <w:t>7</w:t>
      </w:r>
      <w:r>
        <w:rPr>
          <w:rFonts w:hint="eastAsia" w:ascii="黑体" w:hAnsi="黑体" w:eastAsia="黑体" w:cs="黑体"/>
          <w:sz w:val="32"/>
          <w:szCs w:val="32"/>
        </w:rPr>
        <w:t>年</w:t>
      </w:r>
      <w:r>
        <w:rPr>
          <w:rFonts w:hint="eastAsia" w:ascii="黑体" w:hAnsi="黑体" w:eastAsia="黑体" w:cs="黑体"/>
          <w:sz w:val="32"/>
          <w:szCs w:val="32"/>
          <w:lang w:eastAsia="zh-CN"/>
        </w:rPr>
        <w:t>度</w:t>
      </w:r>
      <w:r>
        <w:rPr>
          <w:rFonts w:hint="eastAsia" w:ascii="黑体" w:hAnsi="黑体" w:eastAsia="黑体" w:cs="黑体"/>
          <w:sz w:val="32"/>
          <w:szCs w:val="32"/>
        </w:rPr>
        <w:t>部门决算情况说明</w:t>
      </w:r>
    </w:p>
    <w:p>
      <w:pPr>
        <w:keepNext w:val="0"/>
        <w:keepLines w:val="0"/>
        <w:pageBreakBefore w:val="0"/>
        <w:kinsoku/>
        <w:wordWrap/>
        <w:overflowPunct/>
        <w:topLinePunct w:val="0"/>
        <w:bidi w:val="0"/>
        <w:snapToGrid/>
        <w:spacing w:line="560" w:lineRule="exact"/>
        <w:ind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我部门及所属事业单位的收支包含在部门决算中。</w:t>
      </w:r>
    </w:p>
    <w:p>
      <w:pPr>
        <w:pStyle w:val="6"/>
        <w:keepNext w:val="0"/>
        <w:keepLines w:val="0"/>
        <w:pageBreakBefore w:val="0"/>
        <w:shd w:val="clear" w:color="auto" w:fill="FFFFFF"/>
        <w:kinsoku/>
        <w:wordWrap/>
        <w:overflowPunct/>
        <w:topLinePunct w:val="0"/>
        <w:bidi w:val="0"/>
        <w:snapToGrid/>
        <w:spacing w:before="0" w:beforeAutospacing="0" w:after="0" w:afterAutospacing="0" w:line="560" w:lineRule="exact"/>
        <w:ind w:firstLine="640"/>
        <w:textAlignment w:val="auto"/>
        <w:rPr>
          <w:rFonts w:ascii="楷体" w:hAnsi="楷体" w:eastAsia="楷体" w:cs="Times New Roman"/>
          <w:b/>
          <w:bCs/>
          <w:kern w:val="2"/>
          <w:sz w:val="32"/>
          <w:szCs w:val="32"/>
        </w:rPr>
      </w:pPr>
      <w:r>
        <w:rPr>
          <w:rFonts w:hint="eastAsia" w:ascii="楷体" w:hAnsi="楷体" w:eastAsia="楷体" w:cs="楷体"/>
          <w:b/>
          <w:bCs/>
          <w:kern w:val="2"/>
          <w:sz w:val="32"/>
          <w:szCs w:val="32"/>
        </w:rPr>
        <w:t>一</w:t>
      </w:r>
      <w:r>
        <w:rPr>
          <w:rFonts w:hint="eastAsia" w:ascii="楷体" w:hAnsi="楷体" w:eastAsia="楷体" w:cs="楷体"/>
          <w:b/>
          <w:bCs/>
          <w:kern w:val="2"/>
          <w:sz w:val="32"/>
          <w:szCs w:val="32"/>
          <w:lang w:eastAsia="zh-CN"/>
        </w:rPr>
        <w:t>、</w:t>
      </w:r>
      <w:r>
        <w:rPr>
          <w:rFonts w:hint="eastAsia" w:ascii="楷体" w:hAnsi="楷体" w:eastAsia="楷体" w:cs="楷体"/>
          <w:b/>
          <w:bCs/>
          <w:kern w:val="2"/>
          <w:sz w:val="32"/>
          <w:szCs w:val="32"/>
        </w:rPr>
        <w:t>收入支出决算总体情况说明</w:t>
      </w:r>
    </w:p>
    <w:p>
      <w:pPr>
        <w:keepNext w:val="0"/>
        <w:keepLines w:val="0"/>
        <w:pageBreakBefore w:val="0"/>
        <w:kinsoku/>
        <w:wordWrap/>
        <w:overflowPunct/>
        <w:topLinePunct w:val="0"/>
        <w:bidi w:val="0"/>
        <w:snapToGrid/>
        <w:spacing w:line="560" w:lineRule="exact"/>
        <w:ind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rPr>
        <w:t>根据《中华人民共和国预算法》和财政财务管理有关规定，县财政局批复我部门201</w:t>
      </w:r>
      <w:r>
        <w:rPr>
          <w:rFonts w:hint="eastAsia" w:ascii="仿宋_GB2312" w:hAnsi="仿宋" w:eastAsia="仿宋_GB2312"/>
          <w:sz w:val="32"/>
          <w:szCs w:val="32"/>
          <w:lang w:val="en-US" w:eastAsia="zh-CN"/>
        </w:rPr>
        <w:t>7</w:t>
      </w:r>
      <w:r>
        <w:rPr>
          <w:rFonts w:hint="eastAsia" w:ascii="仿宋_GB2312" w:hAnsi="仿宋" w:eastAsia="仿宋_GB2312"/>
          <w:sz w:val="32"/>
          <w:szCs w:val="32"/>
        </w:rPr>
        <w:t>年</w:t>
      </w:r>
      <w:r>
        <w:rPr>
          <w:rFonts w:hint="eastAsia" w:ascii="仿宋_GB2312" w:hAnsi="仿宋" w:eastAsia="仿宋_GB2312"/>
          <w:sz w:val="32"/>
          <w:szCs w:val="32"/>
          <w:lang w:eastAsia="zh-CN"/>
        </w:rPr>
        <w:t>度</w:t>
      </w:r>
      <w:r>
        <w:rPr>
          <w:rFonts w:hint="eastAsia" w:ascii="仿宋_GB2312" w:hAnsi="仿宋" w:eastAsia="仿宋_GB2312"/>
          <w:sz w:val="32"/>
          <w:szCs w:val="32"/>
        </w:rPr>
        <w:t>决算：</w:t>
      </w:r>
      <w:r>
        <w:rPr>
          <w:rFonts w:hint="eastAsia" w:ascii="仿宋_GB2312" w:hAnsi="仿宋" w:eastAsia="仿宋_GB2312"/>
          <w:sz w:val="32"/>
          <w:szCs w:val="32"/>
          <w:lang w:val="en-US" w:eastAsia="zh-CN"/>
        </w:rPr>
        <w:t xml:space="preserve"> </w:t>
      </w:r>
    </w:p>
    <w:p>
      <w:pPr>
        <w:keepNext w:val="0"/>
        <w:keepLines w:val="0"/>
        <w:pageBreakBefore w:val="0"/>
        <w:kinsoku/>
        <w:wordWrap/>
        <w:overflowPunct/>
        <w:topLinePunct w:val="0"/>
        <w:bidi w:val="0"/>
        <w:snapToGrid/>
        <w:spacing w:line="560" w:lineRule="exact"/>
        <w:ind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rPr>
        <w:t>核定我部门201</w:t>
      </w:r>
      <w:r>
        <w:rPr>
          <w:rFonts w:hint="eastAsia" w:ascii="仿宋_GB2312" w:hAnsi="仿宋" w:eastAsia="仿宋_GB2312"/>
          <w:sz w:val="32"/>
          <w:szCs w:val="32"/>
          <w:lang w:val="en-US" w:eastAsia="zh-CN"/>
        </w:rPr>
        <w:t>7</w:t>
      </w:r>
      <w:r>
        <w:rPr>
          <w:rFonts w:hint="eastAsia" w:ascii="仿宋_GB2312" w:hAnsi="仿宋" w:eastAsia="仿宋_GB2312"/>
          <w:sz w:val="32"/>
          <w:szCs w:val="32"/>
        </w:rPr>
        <w:t>年度年初结转和结余1</w:t>
      </w:r>
      <w:r>
        <w:rPr>
          <w:rFonts w:hint="eastAsia" w:ascii="仿宋_GB2312" w:hAnsi="仿宋" w:eastAsia="仿宋_GB2312"/>
          <w:sz w:val="32"/>
          <w:szCs w:val="32"/>
          <w:lang w:val="en-US" w:eastAsia="zh-CN"/>
        </w:rPr>
        <w:t>51.5</w:t>
      </w:r>
      <w:r>
        <w:rPr>
          <w:rFonts w:hint="eastAsia" w:ascii="仿宋_GB2312" w:hAnsi="仿宋" w:eastAsia="仿宋_GB2312"/>
          <w:sz w:val="32"/>
          <w:szCs w:val="32"/>
        </w:rPr>
        <w:t>万元，本年收入</w:t>
      </w:r>
      <w:r>
        <w:rPr>
          <w:rFonts w:hint="eastAsia" w:ascii="仿宋_GB2312" w:hAnsi="仿宋" w:eastAsia="仿宋_GB2312"/>
          <w:sz w:val="32"/>
          <w:szCs w:val="32"/>
          <w:lang w:val="en-US" w:eastAsia="zh-CN"/>
        </w:rPr>
        <w:t>11493.4</w:t>
      </w:r>
      <w:r>
        <w:rPr>
          <w:rFonts w:hint="eastAsia" w:ascii="仿宋_GB2312" w:hAnsi="仿宋" w:eastAsia="仿宋_GB2312"/>
          <w:sz w:val="32"/>
          <w:szCs w:val="32"/>
        </w:rPr>
        <w:t>万元，本年支出</w:t>
      </w:r>
      <w:r>
        <w:rPr>
          <w:rFonts w:hint="eastAsia" w:ascii="仿宋_GB2312" w:hAnsi="仿宋" w:eastAsia="仿宋_GB2312"/>
          <w:sz w:val="32"/>
          <w:szCs w:val="32"/>
          <w:lang w:val="en-US" w:eastAsia="zh-CN"/>
        </w:rPr>
        <w:t>1062.04</w:t>
      </w:r>
      <w:r>
        <w:rPr>
          <w:rFonts w:hint="eastAsia" w:ascii="仿宋_GB2312" w:hAnsi="仿宋" w:eastAsia="仿宋_GB2312"/>
          <w:sz w:val="32"/>
          <w:szCs w:val="32"/>
        </w:rPr>
        <w:t>万元，用事业基金弥补收支差额0万元，结余分配0万元，年末结转和结余</w:t>
      </w:r>
      <w:r>
        <w:rPr>
          <w:rFonts w:hint="eastAsia" w:ascii="仿宋_GB2312" w:hAnsi="仿宋" w:eastAsia="仿宋_GB2312"/>
          <w:sz w:val="32"/>
          <w:szCs w:val="32"/>
          <w:lang w:val="en-US" w:eastAsia="zh-CN"/>
        </w:rPr>
        <w:t>10582.86</w:t>
      </w:r>
      <w:r>
        <w:rPr>
          <w:rFonts w:hint="eastAsia" w:ascii="仿宋_GB2312" w:hAnsi="仿宋" w:eastAsia="仿宋_GB2312"/>
          <w:sz w:val="32"/>
          <w:szCs w:val="32"/>
        </w:rPr>
        <w:t>万元。</w:t>
      </w:r>
      <w:r>
        <w:rPr>
          <w:rFonts w:hint="eastAsia" w:ascii="仿宋_GB2312" w:hAnsi="仿宋" w:eastAsia="仿宋_GB2312"/>
          <w:sz w:val="32"/>
          <w:szCs w:val="32"/>
          <w:lang w:eastAsia="zh-CN"/>
        </w:rPr>
        <w:t>与</w:t>
      </w:r>
      <w:r>
        <w:rPr>
          <w:rFonts w:hint="eastAsia" w:ascii="仿宋_GB2312" w:hAnsi="仿宋" w:eastAsia="仿宋_GB2312"/>
          <w:sz w:val="32"/>
          <w:szCs w:val="32"/>
          <w:lang w:val="en-US" w:eastAsia="zh-CN"/>
        </w:rPr>
        <w:t>2016年度决算对比，本年收入增加1749.7万元，增长17.95%，主要是因为增加廉租住房资金收入。本年支出减少8674.86万元，减少89.096%，主要是因为减少廉租住房资金支出。</w:t>
      </w:r>
    </w:p>
    <w:p>
      <w:pPr>
        <w:keepNext w:val="0"/>
        <w:keepLines w:val="0"/>
        <w:pageBreakBefore w:val="0"/>
        <w:kinsoku/>
        <w:wordWrap/>
        <w:overflowPunct/>
        <w:topLinePunct w:val="0"/>
        <w:bidi w:val="0"/>
        <w:snapToGrid/>
        <w:spacing w:line="560" w:lineRule="exact"/>
        <w:ind w:firstLine="640" w:firstLineChars="200"/>
        <w:textAlignment w:val="auto"/>
        <w:rPr>
          <w:rFonts w:hint="eastAsia" w:ascii="仿宋_GB2312" w:hAnsi="仿宋" w:eastAsia="仿宋_GB2312"/>
          <w:sz w:val="32"/>
          <w:szCs w:val="32"/>
          <w:lang w:val="en-US" w:eastAsia="zh-CN"/>
        </w:rPr>
      </w:pPr>
    </w:p>
    <w:p>
      <w:pPr>
        <w:keepNext w:val="0"/>
        <w:keepLines w:val="0"/>
        <w:pageBreakBefore w:val="0"/>
        <w:kinsoku/>
        <w:wordWrap/>
        <w:overflowPunct/>
        <w:topLinePunct w:val="0"/>
        <w:bidi w:val="0"/>
        <w:snapToGrid/>
        <w:spacing w:line="560" w:lineRule="exact"/>
        <w:ind w:firstLine="640" w:firstLineChars="200"/>
        <w:textAlignment w:val="auto"/>
        <w:rPr>
          <w:rFonts w:hint="eastAsia" w:ascii="仿宋_GB2312" w:hAnsi="仿宋" w:eastAsia="仿宋_GB2312"/>
          <w:sz w:val="32"/>
          <w:szCs w:val="32"/>
          <w:lang w:val="en-US" w:eastAsia="zh-CN"/>
        </w:rPr>
      </w:pPr>
    </w:p>
    <w:p>
      <w:pPr>
        <w:keepNext w:val="0"/>
        <w:keepLines w:val="0"/>
        <w:pageBreakBefore w:val="0"/>
        <w:kinsoku/>
        <w:wordWrap/>
        <w:overflowPunct/>
        <w:topLinePunct w:val="0"/>
        <w:bidi w:val="0"/>
        <w:snapToGrid/>
        <w:spacing w:line="560" w:lineRule="exact"/>
        <w:ind w:firstLine="640" w:firstLineChars="200"/>
        <w:textAlignment w:val="auto"/>
        <w:rPr>
          <w:rFonts w:hint="eastAsia" w:ascii="仿宋_GB2312" w:hAnsi="仿宋" w:eastAsia="仿宋_GB2312"/>
          <w:sz w:val="32"/>
          <w:szCs w:val="32"/>
          <w:lang w:val="en-US" w:eastAsia="zh-CN"/>
        </w:rPr>
      </w:pPr>
    </w:p>
    <w:p>
      <w:pPr>
        <w:keepNext w:val="0"/>
        <w:keepLines w:val="0"/>
        <w:pageBreakBefore w:val="0"/>
        <w:kinsoku/>
        <w:wordWrap/>
        <w:overflowPunct/>
        <w:topLinePunct w:val="0"/>
        <w:bidi w:val="0"/>
        <w:snapToGrid/>
        <w:spacing w:line="560" w:lineRule="exact"/>
        <w:ind w:firstLine="640" w:firstLineChars="200"/>
        <w:textAlignment w:val="auto"/>
        <w:rPr>
          <w:rFonts w:hint="eastAsia" w:ascii="仿宋_GB2312" w:hAnsi="仿宋" w:eastAsia="仿宋_GB2312"/>
          <w:sz w:val="32"/>
          <w:szCs w:val="32"/>
          <w:lang w:val="en-US" w:eastAsia="zh-CN"/>
        </w:rPr>
      </w:pPr>
    </w:p>
    <w:p>
      <w:pPr>
        <w:keepNext w:val="0"/>
        <w:keepLines w:val="0"/>
        <w:pageBreakBefore w:val="0"/>
        <w:kinsoku/>
        <w:wordWrap/>
        <w:overflowPunct/>
        <w:topLinePunct w:val="0"/>
        <w:bidi w:val="0"/>
        <w:snapToGrid/>
        <w:spacing w:line="560" w:lineRule="exact"/>
        <w:ind w:firstLine="640" w:firstLineChars="200"/>
        <w:textAlignment w:val="auto"/>
        <w:rPr>
          <w:rFonts w:hint="eastAsia" w:ascii="仿宋_GB2312" w:hAnsi="仿宋" w:eastAsia="仿宋_GB2312"/>
          <w:sz w:val="32"/>
          <w:szCs w:val="32"/>
          <w:lang w:val="en-US" w:eastAsia="zh-CN"/>
        </w:rPr>
      </w:pPr>
    </w:p>
    <w:p>
      <w:pPr>
        <w:keepNext w:val="0"/>
        <w:keepLines w:val="0"/>
        <w:pageBreakBefore w:val="0"/>
        <w:kinsoku/>
        <w:wordWrap/>
        <w:overflowPunct/>
        <w:topLinePunct w:val="0"/>
        <w:bidi w:val="0"/>
        <w:snapToGrid/>
        <w:spacing w:line="560" w:lineRule="exact"/>
        <w:ind w:firstLine="640" w:firstLineChars="200"/>
        <w:textAlignment w:val="auto"/>
        <w:rPr>
          <w:rFonts w:hint="eastAsia" w:ascii="楷体" w:hAnsi="楷体" w:eastAsia="楷体" w:cs="楷体"/>
          <w:b/>
          <w:bCs/>
          <w:sz w:val="32"/>
          <w:szCs w:val="32"/>
        </w:rPr>
      </w:pPr>
      <w:r>
        <w:rPr>
          <w:rFonts w:hint="eastAsia" w:ascii="仿宋_GB2312" w:hAnsi="仿宋" w:eastAsia="仿宋_GB2312"/>
          <w:sz w:val="32"/>
          <w:szCs w:val="32"/>
          <w:lang w:val="en-US" w:eastAsia="zh-CN"/>
        </w:rPr>
        <w:t>二、</w:t>
      </w:r>
      <w:r>
        <w:rPr>
          <w:rFonts w:hint="eastAsia" w:ascii="楷体" w:hAnsi="楷体" w:eastAsia="楷体" w:cs="楷体"/>
          <w:b/>
          <w:bCs/>
          <w:sz w:val="32"/>
          <w:szCs w:val="32"/>
        </w:rPr>
        <w:t>收入决算情况说明</w:t>
      </w:r>
    </w:p>
    <w:p>
      <w:pPr>
        <w:keepNext w:val="0"/>
        <w:keepLines w:val="0"/>
        <w:pageBreakBefore w:val="0"/>
        <w:numPr>
          <w:ilvl w:val="0"/>
          <w:numId w:val="0"/>
        </w:numPr>
        <w:kinsoku/>
        <w:wordWrap/>
        <w:overflowPunct/>
        <w:topLinePunct w:val="0"/>
        <w:bidi w:val="0"/>
        <w:snapToGrid/>
        <w:spacing w:line="560" w:lineRule="exact"/>
        <w:ind w:firstLine="640"/>
        <w:textAlignment w:val="auto"/>
        <w:rPr>
          <w:rFonts w:hint="eastAsia" w:ascii="仿宋_GB2312" w:hAnsi="仿宋" w:eastAsia="仿宋_GB2312"/>
          <w:sz w:val="32"/>
          <w:szCs w:val="32"/>
        </w:rPr>
      </w:pPr>
      <w:r>
        <w:rPr>
          <w:rFonts w:hint="eastAsia" w:ascii="仿宋_GB2312" w:hAnsi="仿宋" w:eastAsia="仿宋_GB2312"/>
          <w:sz w:val="32"/>
          <w:szCs w:val="32"/>
        </w:rPr>
        <w:t>201</w:t>
      </w:r>
      <w:r>
        <w:rPr>
          <w:rFonts w:hint="eastAsia" w:ascii="仿宋_GB2312" w:hAnsi="仿宋" w:eastAsia="仿宋_GB2312"/>
          <w:sz w:val="32"/>
          <w:szCs w:val="32"/>
          <w:lang w:val="en-US" w:eastAsia="zh-CN"/>
        </w:rPr>
        <w:t>7</w:t>
      </w:r>
      <w:r>
        <w:rPr>
          <w:rFonts w:hint="eastAsia" w:ascii="仿宋_GB2312" w:hAnsi="仿宋" w:eastAsia="仿宋_GB2312"/>
          <w:sz w:val="32"/>
          <w:szCs w:val="32"/>
        </w:rPr>
        <w:t>年度收入</w:t>
      </w:r>
      <w:r>
        <w:rPr>
          <w:rFonts w:hint="eastAsia" w:ascii="仿宋_GB2312" w:hAnsi="仿宋" w:eastAsia="仿宋_GB2312"/>
          <w:sz w:val="32"/>
          <w:szCs w:val="32"/>
          <w:lang w:val="en-US" w:eastAsia="zh-CN"/>
        </w:rPr>
        <w:t>11493.4</w:t>
      </w:r>
      <w:r>
        <w:rPr>
          <w:rFonts w:hint="eastAsia" w:ascii="仿宋_GB2312" w:hAnsi="仿宋" w:eastAsia="仿宋_GB2312"/>
          <w:sz w:val="32"/>
          <w:szCs w:val="32"/>
        </w:rPr>
        <w:t>万元，其中一般公共预算财政拨款收入</w:t>
      </w:r>
      <w:r>
        <w:rPr>
          <w:rFonts w:hint="eastAsia" w:ascii="仿宋_GB2312" w:hAnsi="仿宋" w:eastAsia="仿宋_GB2312"/>
          <w:sz w:val="32"/>
          <w:szCs w:val="32"/>
          <w:lang w:val="en-US" w:eastAsia="zh-CN"/>
        </w:rPr>
        <w:t>11493.4</w:t>
      </w:r>
      <w:r>
        <w:rPr>
          <w:rFonts w:hint="eastAsia" w:ascii="仿宋_GB2312" w:hAnsi="仿宋" w:eastAsia="仿宋_GB2312"/>
          <w:sz w:val="32"/>
          <w:szCs w:val="32"/>
        </w:rPr>
        <w:t>万元。</w:t>
      </w:r>
    </w:p>
    <w:p>
      <w:pPr>
        <w:keepNext w:val="0"/>
        <w:keepLines w:val="0"/>
        <w:pageBreakBefore w:val="0"/>
        <w:numPr>
          <w:ilvl w:val="0"/>
          <w:numId w:val="0"/>
        </w:numPr>
        <w:kinsoku/>
        <w:wordWrap/>
        <w:overflowPunct/>
        <w:topLinePunct w:val="0"/>
        <w:bidi w:val="0"/>
        <w:snapToGrid/>
        <w:spacing w:line="560" w:lineRule="exact"/>
        <w:ind w:firstLine="640"/>
        <w:jc w:val="center"/>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图1  收入决算结构饼状图</w:t>
      </w:r>
    </w:p>
    <w:p>
      <w:pPr>
        <w:keepNext w:val="0"/>
        <w:keepLines w:val="0"/>
        <w:pageBreakBefore w:val="0"/>
        <w:numPr>
          <w:ilvl w:val="0"/>
          <w:numId w:val="0"/>
        </w:numPr>
        <w:kinsoku/>
        <w:wordWrap/>
        <w:overflowPunct/>
        <w:topLinePunct w:val="0"/>
        <w:bidi w:val="0"/>
        <w:snapToGrid/>
        <w:spacing w:line="560" w:lineRule="exact"/>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lang w:eastAsia="zh-CN"/>
        </w:rPr>
        <w:drawing>
          <wp:anchor distT="0" distB="0" distL="114300" distR="114300" simplePos="0" relativeHeight="251660288" behindDoc="0" locked="0" layoutInCell="1" allowOverlap="1">
            <wp:simplePos x="0" y="0"/>
            <wp:positionH relativeFrom="column">
              <wp:posOffset>3217545</wp:posOffset>
            </wp:positionH>
            <wp:positionV relativeFrom="paragraph">
              <wp:posOffset>75565</wp:posOffset>
            </wp:positionV>
            <wp:extent cx="2743835" cy="1956435"/>
            <wp:effectExtent l="0" t="0" r="18415" b="5715"/>
            <wp:wrapTopAndBottom/>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anchor>
        </w:drawing>
      </w:r>
      <w:r>
        <w:rPr>
          <w:rFonts w:hint="eastAsia" w:ascii="楷体" w:hAnsi="楷体" w:eastAsia="楷体" w:cs="楷体"/>
          <w:b/>
          <w:bCs/>
          <w:sz w:val="32"/>
          <w:szCs w:val="32"/>
          <w:lang w:eastAsia="zh-CN"/>
        </w:rPr>
        <w:t>三、</w:t>
      </w:r>
      <w:r>
        <w:rPr>
          <w:rFonts w:hint="eastAsia" w:ascii="楷体" w:hAnsi="楷体" w:eastAsia="楷体" w:cs="楷体"/>
          <w:b/>
          <w:bCs/>
          <w:sz w:val="32"/>
          <w:szCs w:val="32"/>
        </w:rPr>
        <w:t>支出决算情况说明</w:t>
      </w:r>
    </w:p>
    <w:p>
      <w:pPr>
        <w:keepNext w:val="0"/>
        <w:keepLines w:val="0"/>
        <w:pageBreakBefore w:val="0"/>
        <w:numPr>
          <w:ilvl w:val="0"/>
          <w:numId w:val="0"/>
        </w:numPr>
        <w:kinsoku/>
        <w:wordWrap/>
        <w:overflowPunct/>
        <w:topLinePunct w:val="0"/>
        <w:bidi w:val="0"/>
        <w:snapToGrid/>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lang w:val="en-US" w:eastAsia="zh-CN"/>
        </w:rPr>
        <w:t>本部门 2017年</w:t>
      </w:r>
      <w:r>
        <w:rPr>
          <w:rFonts w:hint="eastAsia" w:ascii="仿宋_GB2312" w:hAnsi="仿宋" w:eastAsia="仿宋_GB2312"/>
          <w:sz w:val="32"/>
          <w:szCs w:val="32"/>
        </w:rPr>
        <w:t>度支出</w:t>
      </w:r>
      <w:r>
        <w:rPr>
          <w:rFonts w:hint="eastAsia" w:ascii="仿宋_GB2312" w:hAnsi="仿宋" w:eastAsia="仿宋_GB2312"/>
          <w:sz w:val="32"/>
          <w:szCs w:val="32"/>
          <w:lang w:val="en-US" w:eastAsia="zh-CN"/>
        </w:rPr>
        <w:t>合计1062.04</w:t>
      </w:r>
      <w:r>
        <w:rPr>
          <w:rFonts w:hint="eastAsia" w:ascii="仿宋_GB2312" w:hAnsi="仿宋" w:eastAsia="仿宋_GB2312"/>
          <w:sz w:val="32"/>
          <w:szCs w:val="32"/>
        </w:rPr>
        <w:t>万元，其中</w:t>
      </w:r>
      <w:r>
        <w:rPr>
          <w:rFonts w:hint="eastAsia" w:ascii="仿宋_GB2312" w:hAnsi="仿宋" w:eastAsia="仿宋_GB2312"/>
          <w:sz w:val="32"/>
          <w:szCs w:val="32"/>
          <w:lang w:val="en-US" w:eastAsia="zh-CN"/>
        </w:rPr>
        <w:t>基本支出892.08万元，占84%；项目支出169.96万元，占16%</w:t>
      </w:r>
      <w:r>
        <w:rPr>
          <w:rFonts w:hint="eastAsia" w:ascii="仿宋_GB2312" w:hAnsi="仿宋" w:eastAsia="仿宋_GB2312"/>
          <w:sz w:val="32"/>
          <w:szCs w:val="32"/>
        </w:rPr>
        <w:t>。</w:t>
      </w:r>
    </w:p>
    <w:p>
      <w:pPr>
        <w:keepNext w:val="0"/>
        <w:keepLines w:val="0"/>
        <w:pageBreakBefore w:val="0"/>
        <w:numPr>
          <w:ilvl w:val="0"/>
          <w:numId w:val="0"/>
        </w:numPr>
        <w:kinsoku/>
        <w:wordWrap/>
        <w:overflowPunct/>
        <w:topLinePunct w:val="0"/>
        <w:bidi w:val="0"/>
        <w:snapToGrid/>
        <w:spacing w:line="560" w:lineRule="exact"/>
        <w:ind w:firstLine="640"/>
        <w:jc w:val="center"/>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drawing>
          <wp:anchor distT="0" distB="0" distL="114300" distR="114300" simplePos="0" relativeHeight="251659264" behindDoc="0" locked="0" layoutInCell="1" allowOverlap="1">
            <wp:simplePos x="0" y="0"/>
            <wp:positionH relativeFrom="column">
              <wp:posOffset>3536950</wp:posOffset>
            </wp:positionH>
            <wp:positionV relativeFrom="paragraph">
              <wp:posOffset>387985</wp:posOffset>
            </wp:positionV>
            <wp:extent cx="2266950" cy="1807845"/>
            <wp:effectExtent l="0" t="0" r="0" b="1905"/>
            <wp:wrapTopAndBottom/>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anchor>
        </w:drawing>
      </w:r>
      <w:r>
        <w:rPr>
          <w:rFonts w:hint="eastAsia" w:ascii="仿宋_GB2312" w:hAnsi="仿宋" w:eastAsia="仿宋_GB2312"/>
          <w:sz w:val="32"/>
          <w:szCs w:val="32"/>
          <w:lang w:val="en-US" w:eastAsia="zh-CN"/>
        </w:rPr>
        <w:t>图2  支出决算结构饼状图</w:t>
      </w:r>
    </w:p>
    <w:p>
      <w:pPr>
        <w:keepNext w:val="0"/>
        <w:keepLines w:val="0"/>
        <w:pageBreakBefore w:val="0"/>
        <w:numPr>
          <w:ilvl w:val="0"/>
          <w:numId w:val="2"/>
        </w:numPr>
        <w:kinsoku/>
        <w:wordWrap/>
        <w:overflowPunct/>
        <w:topLinePunct w:val="0"/>
        <w:bidi w:val="0"/>
        <w:snapToGrid/>
        <w:spacing w:line="560" w:lineRule="exact"/>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财政拨款收入支出决算总体情况说明</w:t>
      </w:r>
    </w:p>
    <w:p>
      <w:pPr>
        <w:keepNext w:val="0"/>
        <w:keepLines w:val="0"/>
        <w:pageBreakBefore w:val="0"/>
        <w:numPr>
          <w:ilvl w:val="0"/>
          <w:numId w:val="0"/>
        </w:numPr>
        <w:kinsoku/>
        <w:wordWrap/>
        <w:overflowPunct/>
        <w:topLinePunct w:val="0"/>
        <w:bidi w:val="0"/>
        <w:snapToGrid/>
        <w:spacing w:line="560" w:lineRule="exact"/>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 xml:space="preserve">    （一)财政拨款收支与2016年度决算对比情况</w:t>
      </w:r>
    </w:p>
    <w:p>
      <w:pPr>
        <w:keepNext w:val="0"/>
        <w:keepLines w:val="0"/>
        <w:pageBreakBefore w:val="0"/>
        <w:numPr>
          <w:ilvl w:val="0"/>
          <w:numId w:val="0"/>
        </w:numPr>
        <w:kinsoku/>
        <w:wordWrap/>
        <w:overflowPunct/>
        <w:topLinePunct w:val="0"/>
        <w:bidi w:val="0"/>
        <w:snapToGrid/>
        <w:spacing w:line="560" w:lineRule="exact"/>
        <w:ind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本部门2017年度年初结转和结余151.15万元，本年收入11493.4万元，本年支出1062.04万元，用事业基金弥补收支差额0万元，结余分配0万元，年末结转和结余10582.86万元。</w:t>
      </w:r>
    </w:p>
    <w:p>
      <w:pPr>
        <w:keepNext w:val="0"/>
        <w:keepLines w:val="0"/>
        <w:pageBreakBefore w:val="0"/>
        <w:numPr>
          <w:ilvl w:val="0"/>
          <w:numId w:val="0"/>
        </w:numPr>
        <w:kinsoku/>
        <w:wordWrap/>
        <w:overflowPunct/>
        <w:topLinePunct w:val="0"/>
        <w:bidi w:val="0"/>
        <w:snapToGrid/>
        <w:spacing w:line="560" w:lineRule="exact"/>
        <w:ind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其中，2016年度收入决算总额为9743.7万元，2017年度决算收入总额较2016年度增加1749.7万元，增长17.96%，增加的主要原因为人员增资、日常公用提标以及保障房专项资金。2016年度支出决算总额为9736.9万元，2017年度部门支出决算总额较2016年度减少8674.9万元，减少的主要原因为保障房专项支出减少。</w:t>
      </w:r>
    </w:p>
    <w:p>
      <w:pPr>
        <w:pStyle w:val="6"/>
        <w:keepNext w:val="0"/>
        <w:keepLines w:val="0"/>
        <w:pageBreakBefore w:val="0"/>
        <w:numPr>
          <w:ilvl w:val="0"/>
          <w:numId w:val="0"/>
        </w:numPr>
        <w:shd w:val="clear" w:color="auto" w:fill="FFFFFF"/>
        <w:kinsoku/>
        <w:wordWrap/>
        <w:overflowPunct/>
        <w:topLinePunct w:val="0"/>
        <w:bidi w:val="0"/>
        <w:snapToGrid/>
        <w:spacing w:before="0" w:beforeAutospacing="0" w:after="0" w:afterAutospacing="0" w:line="560" w:lineRule="exact"/>
        <w:ind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本部门2017年度政府性基金预算财政拨款本年收入较2016年度决算增加9913万元，主要原因是2017年新增预算项目。年末结转和结余9913万元，无支出。</w:t>
      </w:r>
    </w:p>
    <w:p>
      <w:pPr>
        <w:pStyle w:val="6"/>
        <w:keepNext w:val="0"/>
        <w:keepLines w:val="0"/>
        <w:pageBreakBefore w:val="0"/>
        <w:numPr>
          <w:ilvl w:val="0"/>
          <w:numId w:val="3"/>
        </w:numPr>
        <w:shd w:val="clear" w:color="auto" w:fill="FFFFFF"/>
        <w:kinsoku/>
        <w:wordWrap/>
        <w:overflowPunct/>
        <w:topLinePunct w:val="0"/>
        <w:bidi w:val="0"/>
        <w:snapToGrid/>
        <w:spacing w:before="0" w:beforeAutospacing="0" w:after="0" w:afterAutospacing="0" w:line="560" w:lineRule="exact"/>
        <w:ind w:left="642" w:leftChars="0" w:firstLine="0" w:firstLineChars="0"/>
        <w:textAlignment w:val="auto"/>
        <w:rPr>
          <w:rFonts w:hint="eastAsia" w:ascii="楷体" w:hAnsi="楷体" w:eastAsia="楷体" w:cs="楷体"/>
          <w:b/>
          <w:bCs/>
          <w:kern w:val="2"/>
          <w:sz w:val="32"/>
          <w:szCs w:val="32"/>
          <w:lang w:eastAsia="zh-CN"/>
        </w:rPr>
      </w:pPr>
      <w:r>
        <w:rPr>
          <w:rFonts w:hint="eastAsia" w:ascii="楷体" w:hAnsi="楷体" w:eastAsia="楷体" w:cs="楷体"/>
          <w:b/>
          <w:bCs/>
          <w:kern w:val="2"/>
          <w:sz w:val="32"/>
          <w:szCs w:val="32"/>
          <w:lang w:eastAsia="zh-CN"/>
        </w:rPr>
        <w:t>财政拨款收支与年初预算对比情况</w:t>
      </w:r>
    </w:p>
    <w:p>
      <w:pPr>
        <w:pStyle w:val="6"/>
        <w:keepNext w:val="0"/>
        <w:keepLines w:val="0"/>
        <w:pageBreakBefore w:val="0"/>
        <w:numPr>
          <w:ilvl w:val="0"/>
          <w:numId w:val="0"/>
        </w:numPr>
        <w:shd w:val="clear" w:color="auto" w:fill="FFFFFF"/>
        <w:kinsoku/>
        <w:wordWrap/>
        <w:overflowPunct/>
        <w:topLinePunct w:val="0"/>
        <w:bidi w:val="0"/>
        <w:snapToGrid/>
        <w:spacing w:before="0" w:beforeAutospacing="0" w:after="0" w:afterAutospacing="0" w:line="560" w:lineRule="exact"/>
        <w:ind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本部门2017年度财政拨款本年收入较2017年初预算增加10610.03万元，增长1201.08% 主要原因是增加廉租住房资金收入；本年支出增加178.67万元，增加20.23%，主要原因是廉租住房资金支出增加。</w:t>
      </w:r>
    </w:p>
    <w:p>
      <w:pPr>
        <w:pStyle w:val="6"/>
        <w:keepNext w:val="0"/>
        <w:keepLines w:val="0"/>
        <w:pageBreakBefore w:val="0"/>
        <w:numPr>
          <w:ilvl w:val="0"/>
          <w:numId w:val="0"/>
        </w:numPr>
        <w:shd w:val="clear" w:color="auto" w:fill="FFFFFF"/>
        <w:kinsoku/>
        <w:wordWrap/>
        <w:overflowPunct/>
        <w:topLinePunct w:val="0"/>
        <w:bidi w:val="0"/>
        <w:snapToGrid/>
        <w:spacing w:before="0" w:beforeAutospacing="0" w:after="0" w:afterAutospacing="0" w:line="560" w:lineRule="exact"/>
        <w:ind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其中，本部门2017年度一般公共预算财政拨款本年收入较2017年初数算增加697.03万元，增长78.90%，主要原因是廉租住房资金支出增加。</w:t>
      </w:r>
    </w:p>
    <w:p>
      <w:pPr>
        <w:pStyle w:val="6"/>
        <w:keepNext w:val="0"/>
        <w:keepLines w:val="0"/>
        <w:pageBreakBefore w:val="0"/>
        <w:numPr>
          <w:ilvl w:val="0"/>
          <w:numId w:val="0"/>
        </w:numPr>
        <w:shd w:val="clear" w:color="auto" w:fill="FFFFFF"/>
        <w:kinsoku/>
        <w:wordWrap/>
        <w:overflowPunct/>
        <w:topLinePunct w:val="0"/>
        <w:bidi w:val="0"/>
        <w:snapToGrid/>
        <w:spacing w:before="0" w:beforeAutospacing="0" w:after="0" w:afterAutospacing="0" w:line="560" w:lineRule="exact"/>
        <w:ind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本部门2017年度政府性基金预算财政拨款本年收入较2017年初预算增加9913万元，主要原因是此笔经费属于年中预算追加。年末结转和结余9913万元，无支出。</w:t>
      </w:r>
    </w:p>
    <w:p>
      <w:pPr>
        <w:pStyle w:val="6"/>
        <w:keepNext w:val="0"/>
        <w:keepLines w:val="0"/>
        <w:pageBreakBefore w:val="0"/>
        <w:numPr>
          <w:ilvl w:val="0"/>
          <w:numId w:val="0"/>
        </w:numPr>
        <w:shd w:val="clear" w:color="auto" w:fill="FFFFFF"/>
        <w:kinsoku/>
        <w:wordWrap/>
        <w:overflowPunct/>
        <w:topLinePunct w:val="0"/>
        <w:bidi w:val="0"/>
        <w:snapToGrid/>
        <w:spacing w:before="0" w:beforeAutospacing="0" w:after="0" w:afterAutospacing="0" w:line="560" w:lineRule="exact"/>
        <w:ind w:left="642" w:leftChars="0"/>
        <w:textAlignment w:val="auto"/>
        <w:rPr>
          <w:rFonts w:ascii="楷体" w:hAnsi="楷体" w:eastAsia="楷体" w:cs="Times New Roman"/>
          <w:b/>
          <w:bCs/>
          <w:kern w:val="2"/>
          <w:sz w:val="32"/>
          <w:szCs w:val="32"/>
        </w:rPr>
      </w:pPr>
      <w:r>
        <w:rPr>
          <w:rFonts w:hint="eastAsia" w:ascii="楷体" w:hAnsi="楷体" w:eastAsia="楷体" w:cs="楷体"/>
          <w:b/>
          <w:bCs/>
          <w:kern w:val="2"/>
          <w:sz w:val="32"/>
          <w:szCs w:val="32"/>
        </w:rPr>
        <w:t>五</w:t>
      </w:r>
      <w:r>
        <w:rPr>
          <w:rFonts w:hint="eastAsia" w:ascii="楷体" w:hAnsi="楷体" w:eastAsia="楷体" w:cs="楷体"/>
          <w:b/>
          <w:bCs/>
          <w:kern w:val="2"/>
          <w:sz w:val="32"/>
          <w:szCs w:val="32"/>
          <w:lang w:eastAsia="zh-CN"/>
        </w:rPr>
        <w:t>、一般公共预算财政拨款</w:t>
      </w:r>
      <w:r>
        <w:rPr>
          <w:rFonts w:hint="eastAsia" w:ascii="楷体" w:hAnsi="楷体" w:eastAsia="楷体" w:cs="楷体"/>
          <w:b/>
          <w:bCs/>
          <w:kern w:val="2"/>
          <w:sz w:val="32"/>
          <w:szCs w:val="32"/>
        </w:rPr>
        <w:t>“三公”经费</w:t>
      </w:r>
      <w:r>
        <w:rPr>
          <w:rFonts w:hint="eastAsia" w:ascii="楷体" w:hAnsi="楷体" w:eastAsia="楷体" w:cs="楷体"/>
          <w:b/>
          <w:bCs/>
          <w:kern w:val="2"/>
          <w:sz w:val="32"/>
          <w:szCs w:val="32"/>
          <w:lang w:eastAsia="zh-CN"/>
        </w:rPr>
        <w:t>支出</w:t>
      </w:r>
      <w:r>
        <w:rPr>
          <w:rFonts w:hint="eastAsia" w:ascii="楷体" w:hAnsi="楷体" w:eastAsia="楷体" w:cs="楷体"/>
          <w:b/>
          <w:bCs/>
          <w:kern w:val="2"/>
          <w:sz w:val="32"/>
          <w:szCs w:val="32"/>
        </w:rPr>
        <w:t>决算情况</w:t>
      </w:r>
      <w:r>
        <w:rPr>
          <w:rFonts w:hint="eastAsia" w:ascii="楷体" w:hAnsi="楷体" w:eastAsia="楷体" w:cs="楷体"/>
          <w:b/>
          <w:bCs/>
          <w:kern w:val="2"/>
          <w:sz w:val="32"/>
          <w:szCs w:val="32"/>
          <w:lang w:eastAsia="zh-CN"/>
        </w:rPr>
        <w:t>说明</w:t>
      </w:r>
    </w:p>
    <w:p>
      <w:pPr>
        <w:keepNext w:val="0"/>
        <w:keepLines w:val="0"/>
        <w:pageBreakBefore w:val="0"/>
        <w:numPr>
          <w:ilvl w:val="0"/>
          <w:numId w:val="0"/>
        </w:numPr>
        <w:kinsoku/>
        <w:wordWrap/>
        <w:overflowPunct/>
        <w:topLinePunct w:val="0"/>
        <w:bidi w:val="0"/>
        <w:snapToGrid/>
        <w:spacing w:line="560" w:lineRule="exact"/>
        <w:ind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本部门2017年度一般公共预算财政拨款“三公”经费支出共计1.86万元，较年初预算减少10.54万元，降低85%，主要原因是公车改革后，公车出行受限；较2016年度决算减少10.74万元，降低85.24%，主要原因是公车改革后，公车出行受限。具体情况如下：</w:t>
      </w:r>
    </w:p>
    <w:p>
      <w:pPr>
        <w:keepNext w:val="0"/>
        <w:keepLines w:val="0"/>
        <w:pageBreakBefore w:val="0"/>
        <w:numPr>
          <w:ilvl w:val="0"/>
          <w:numId w:val="0"/>
        </w:numPr>
        <w:kinsoku/>
        <w:wordWrap/>
        <w:overflowPunct/>
        <w:topLinePunct w:val="0"/>
        <w:bidi w:val="0"/>
        <w:snapToGrid/>
        <w:spacing w:line="560" w:lineRule="exact"/>
        <w:ind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（一）因公出国（境）费支出0万元。本部门2017年度因公出国（境）团组0个，因公出国（境）人次数0人。因公出国（境）费支出较年初预算无增减变化，较2016年度决算无增减变化。</w:t>
      </w:r>
    </w:p>
    <w:p>
      <w:pPr>
        <w:keepNext w:val="0"/>
        <w:keepLines w:val="0"/>
        <w:pageBreakBefore w:val="0"/>
        <w:numPr>
          <w:ilvl w:val="0"/>
          <w:numId w:val="0"/>
        </w:numPr>
        <w:kinsoku/>
        <w:wordWrap/>
        <w:overflowPunct/>
        <w:topLinePunct w:val="0"/>
        <w:bidi w:val="0"/>
        <w:snapToGrid/>
        <w:spacing w:line="560" w:lineRule="exact"/>
        <w:ind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（二）公务用车购置及运行维护费支出1.86万元。其中：</w:t>
      </w:r>
    </w:p>
    <w:p>
      <w:pPr>
        <w:keepNext w:val="0"/>
        <w:keepLines w:val="0"/>
        <w:pageBreakBefore w:val="0"/>
        <w:numPr>
          <w:ilvl w:val="0"/>
          <w:numId w:val="0"/>
        </w:numPr>
        <w:kinsoku/>
        <w:wordWrap/>
        <w:overflowPunct/>
        <w:topLinePunct w:val="0"/>
        <w:bidi w:val="0"/>
        <w:snapToGrid/>
        <w:spacing w:line="560" w:lineRule="exact"/>
        <w:ind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公务用车购置费支出0万元。较年初预算无增减变化，较2016年度决算无增减变化。</w:t>
      </w:r>
    </w:p>
    <w:p>
      <w:pPr>
        <w:keepNext w:val="0"/>
        <w:keepLines w:val="0"/>
        <w:pageBreakBefore w:val="0"/>
        <w:numPr>
          <w:ilvl w:val="0"/>
          <w:numId w:val="0"/>
        </w:numPr>
        <w:kinsoku/>
        <w:wordWrap/>
        <w:overflowPunct/>
        <w:topLinePunct w:val="0"/>
        <w:bidi w:val="0"/>
        <w:snapToGrid/>
        <w:spacing w:line="560" w:lineRule="exact"/>
        <w:ind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公车运行维护费支出1.86万元，本部门2017年末公务用车保有量2辆。公务用车运行维护费支出较年初预算减少10.74万元，降低85%，主要原因是公车改革后，公车出行受限；较2016年度决算减少5.14万元，降低85.24%，主要原因是公车改革后，公车出行受限。</w:t>
      </w:r>
    </w:p>
    <w:p>
      <w:pPr>
        <w:keepNext w:val="0"/>
        <w:keepLines w:val="0"/>
        <w:pageBreakBefore w:val="0"/>
        <w:numPr>
          <w:ilvl w:val="0"/>
          <w:numId w:val="0"/>
        </w:numPr>
        <w:kinsoku/>
        <w:wordWrap/>
        <w:overflowPunct/>
        <w:topLinePunct w:val="0"/>
        <w:bidi w:val="0"/>
        <w:snapToGrid/>
        <w:spacing w:line="560" w:lineRule="exact"/>
        <w:ind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三）公务接待费支出0万元。本部门公务接待费支出较年初预算减少0.5万元，降低100%，主要原因是年初设想的上级督导、检查接待没有实现；较2016年度决算减少0.048万元，减少100%，主要原因是上级督导、检查工作较2016年度有所减少。</w:t>
      </w:r>
    </w:p>
    <w:p>
      <w:pPr>
        <w:keepNext w:val="0"/>
        <w:keepLines w:val="0"/>
        <w:pageBreakBefore w:val="0"/>
        <w:kinsoku/>
        <w:wordWrap/>
        <w:overflowPunct/>
        <w:topLinePunct w:val="0"/>
        <w:autoSpaceDE w:val="0"/>
        <w:autoSpaceDN w:val="0"/>
        <w:bidi w:val="0"/>
        <w:adjustRightInd w:val="0"/>
        <w:snapToGrid/>
        <w:spacing w:line="560" w:lineRule="exact"/>
        <w:ind w:firstLine="643" w:firstLineChars="200"/>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六、</w:t>
      </w:r>
      <w:r>
        <w:rPr>
          <w:rFonts w:hint="eastAsia" w:ascii="楷体" w:hAnsi="楷体" w:eastAsia="楷体" w:cs="楷体"/>
          <w:b/>
          <w:bCs/>
          <w:sz w:val="32"/>
          <w:szCs w:val="32"/>
        </w:rPr>
        <w:t>绩效预算</w:t>
      </w:r>
      <w:r>
        <w:rPr>
          <w:rFonts w:hint="eastAsia" w:ascii="楷体" w:hAnsi="楷体" w:eastAsia="楷体" w:cs="楷体"/>
          <w:b/>
          <w:bCs/>
          <w:sz w:val="32"/>
          <w:szCs w:val="32"/>
          <w:lang w:eastAsia="zh-CN"/>
        </w:rPr>
        <w:t>管理工作开展情况说明</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（一）绩效管理工作开展情况</w:t>
      </w:r>
    </w:p>
    <w:p>
      <w:pPr>
        <w:keepNext w:val="0"/>
        <w:keepLines w:val="0"/>
        <w:pageBreakBefore w:val="0"/>
        <w:kinsoku/>
        <w:wordWrap/>
        <w:overflowPunct/>
        <w:topLinePunct w:val="0"/>
        <w:bidi w:val="0"/>
        <w:snapToGrid/>
        <w:spacing w:line="560" w:lineRule="exact"/>
        <w:ind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2017年度大厂回族自治县房产管理局，大厂回族自治县房产管理局以绩效目标实现为导向，进一步加强制度建设，提升自评质量，预算绩效管理取得新成效。</w:t>
      </w:r>
    </w:p>
    <w:p>
      <w:pPr>
        <w:keepNext w:val="0"/>
        <w:keepLines w:val="0"/>
        <w:pageBreakBefore w:val="0"/>
        <w:numPr>
          <w:ilvl w:val="0"/>
          <w:numId w:val="0"/>
        </w:numPr>
        <w:kinsoku/>
        <w:wordWrap/>
        <w:overflowPunct/>
        <w:topLinePunct w:val="0"/>
        <w:bidi w:val="0"/>
        <w:snapToGrid/>
        <w:spacing w:line="560" w:lineRule="exact"/>
        <w:ind w:left="642" w:leftChars="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（二）预算项目绩效评价开展情况</w:t>
      </w:r>
    </w:p>
    <w:p>
      <w:pPr>
        <w:keepNext w:val="0"/>
        <w:keepLines w:val="0"/>
        <w:pageBreakBefore w:val="0"/>
        <w:numPr>
          <w:ilvl w:val="0"/>
          <w:numId w:val="0"/>
        </w:numPr>
        <w:kinsoku/>
        <w:wordWrap/>
        <w:overflowPunct/>
        <w:topLinePunct w:val="0"/>
        <w:bidi w:val="0"/>
        <w:snapToGrid/>
        <w:spacing w:line="560" w:lineRule="exact"/>
        <w:ind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 xml:space="preserve">一是抓好绩效目标编制，及时报送绩效目标。二是探索绩效跟踪监控，要求加强过程监控。三是深入开展财政支出绩效评价，对专项资金实施绩效自评和项目核查，在此基础上形成自评报告。四是强化评价结果应用，组织绩效自评和绩效跟踪监控，对发现的问题及时改进，加强评价结果与项目资金安排的衔接。五是健全绩效管理工作机制，明确职责分工，努力提高绩效管理工作水平。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（三）预算项目绩效自评选例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2017年，我县通过全力推进保障性安居工程建设，对于改善民生、促进社会和谐稳定具有重要意义。一方面消化了相当部分因住房问题引发的不稳定因素，有力地促进了我县和谐社会的构建，发挥了良好的社会效益。另一方面对扩大住房的有效需求、拉动内需和启动经济新的增长点启到了关键作用。此外， 避免公共住房的闲置，满足我县住房困难家庭刚性需求，又防止因住房供应紧张而造成住房价格上涨过快。但个别家庭违规申请住房保障，公租房后期监管力度需加大，相关政策有待完善，绩效评价为“优秀”。</w:t>
      </w:r>
    </w:p>
    <w:p>
      <w:pPr>
        <w:keepNext w:val="0"/>
        <w:keepLines w:val="0"/>
        <w:pageBreakBefore w:val="0"/>
        <w:kinsoku/>
        <w:wordWrap/>
        <w:overflowPunct/>
        <w:topLinePunct w:val="0"/>
        <w:bidi w:val="0"/>
        <w:snapToGrid/>
        <w:spacing w:line="560" w:lineRule="exact"/>
        <w:ind w:firstLine="643" w:firstLineChars="200"/>
        <w:textAlignment w:val="auto"/>
        <w:rPr>
          <w:rFonts w:hint="eastAsia" w:ascii="楷体_GB2312" w:hAnsi="楷体_GB2312" w:eastAsia="楷体_GB2312" w:cs="楷体_GB2312"/>
          <w:b/>
          <w:bCs/>
          <w:sz w:val="32"/>
          <w:szCs w:val="32"/>
          <w:lang w:val="en-US" w:eastAsia="zh-CN"/>
        </w:rPr>
      </w:pPr>
      <w:bookmarkStart w:id="0" w:name="_GoBack"/>
      <w:bookmarkEnd w:id="0"/>
      <w:r>
        <w:rPr>
          <w:rFonts w:hint="eastAsia" w:ascii="楷体_GB2312" w:hAnsi="楷体_GB2312" w:eastAsia="楷体_GB2312" w:cs="楷体_GB2312"/>
          <w:b/>
          <w:bCs/>
          <w:sz w:val="32"/>
          <w:szCs w:val="32"/>
          <w:lang w:val="en-US" w:eastAsia="zh-CN"/>
        </w:rPr>
        <w:t>七、其他重要事项的说明</w:t>
      </w:r>
    </w:p>
    <w:p>
      <w:pPr>
        <w:keepNext w:val="0"/>
        <w:keepLines w:val="0"/>
        <w:pageBreakBefore w:val="0"/>
        <w:kinsoku/>
        <w:wordWrap/>
        <w:overflowPunct/>
        <w:topLinePunct w:val="0"/>
        <w:bidi w:val="0"/>
        <w:snapToGrid/>
        <w:spacing w:line="560" w:lineRule="exact"/>
        <w:ind w:firstLine="640" w:firstLineChars="200"/>
        <w:textAlignment w:val="auto"/>
        <w:rPr>
          <w:rFonts w:hint="eastAsia" w:ascii="仿宋_GB2312" w:hAnsi="仿宋" w:eastAsia="仿宋_GB2312"/>
          <w:b w:val="0"/>
          <w:bCs w:val="0"/>
          <w:sz w:val="32"/>
          <w:szCs w:val="32"/>
          <w:lang w:val="en-US" w:eastAsia="zh-CN"/>
        </w:rPr>
      </w:pPr>
      <w:r>
        <w:rPr>
          <w:rFonts w:hint="eastAsia" w:ascii="仿宋_GB2312" w:hAnsi="仿宋" w:eastAsia="仿宋_GB2312"/>
          <w:b w:val="0"/>
          <w:bCs w:val="0"/>
          <w:sz w:val="32"/>
          <w:szCs w:val="32"/>
          <w:lang w:val="en-US" w:eastAsia="zh-CN"/>
        </w:rPr>
        <w:t>（一）机关运行经费的支出情况的说明</w:t>
      </w:r>
    </w:p>
    <w:p>
      <w:pPr>
        <w:keepNext w:val="0"/>
        <w:keepLines w:val="0"/>
        <w:pageBreakBefore w:val="0"/>
        <w:kinsoku/>
        <w:wordWrap/>
        <w:overflowPunct/>
        <w:topLinePunct w:val="0"/>
        <w:bidi w:val="0"/>
        <w:snapToGrid/>
        <w:spacing w:line="560" w:lineRule="exact"/>
        <w:ind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2017年度本部门机关运行经费支出38.12万元，比2016年度减少9.58万元，减少20.08%，主要原因一是认真贯彻落实八项规定要求，厉行节约、严格控制支出。</w:t>
      </w:r>
    </w:p>
    <w:p>
      <w:pPr>
        <w:keepNext w:val="0"/>
        <w:keepLines w:val="0"/>
        <w:pageBreakBefore w:val="0"/>
        <w:kinsoku/>
        <w:wordWrap/>
        <w:overflowPunct/>
        <w:topLinePunct w:val="0"/>
        <w:bidi w:val="0"/>
        <w:snapToGrid/>
        <w:spacing w:line="560" w:lineRule="exact"/>
        <w:ind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(二）政府采购情况</w:t>
      </w:r>
    </w:p>
    <w:p>
      <w:pPr>
        <w:keepNext w:val="0"/>
        <w:keepLines w:val="0"/>
        <w:pageBreakBefore w:val="0"/>
        <w:kinsoku/>
        <w:wordWrap/>
        <w:overflowPunct/>
        <w:topLinePunct w:val="0"/>
        <w:bidi w:val="0"/>
        <w:snapToGrid/>
        <w:spacing w:line="560" w:lineRule="exact"/>
        <w:ind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我单位本年度无政府采购支出。其中：政府采购货物支出0万元，政府采购工程支出0万元，政府采购服务支出0万元。</w:t>
      </w:r>
    </w:p>
    <w:p>
      <w:pPr>
        <w:keepNext w:val="0"/>
        <w:keepLines w:val="0"/>
        <w:pageBreakBefore w:val="0"/>
        <w:numPr>
          <w:ilvl w:val="0"/>
          <w:numId w:val="3"/>
        </w:numPr>
        <w:kinsoku/>
        <w:wordWrap/>
        <w:overflowPunct/>
        <w:topLinePunct w:val="0"/>
        <w:bidi w:val="0"/>
        <w:snapToGrid/>
        <w:spacing w:line="560" w:lineRule="exact"/>
        <w:ind w:left="642" w:leftChars="0" w:firstLine="0" w:firstLineChars="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国有资产占用</w:t>
      </w:r>
    </w:p>
    <w:p>
      <w:pPr>
        <w:keepNext w:val="0"/>
        <w:keepLines w:val="0"/>
        <w:pageBreakBefore w:val="0"/>
        <w:kinsoku/>
        <w:wordWrap/>
        <w:overflowPunct/>
        <w:topLinePunct w:val="0"/>
        <w:bidi w:val="0"/>
        <w:snapToGrid/>
        <w:spacing w:line="560" w:lineRule="exact"/>
        <w:ind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截止时间：2017年12月31日，我部门国有资产占有总体情况为479.33万元，分布构成为房屋829.89平米，价格70.92万元，本年与上年相比无变化；公务用车2辆，其中机要通信用车1辆，执法执勤用车1辆，价值31.9万元，本年与上年相比无变化；其他固定资产376.51万元，本年与上年相比无变化；单位价值50万元以上大型设备0台（套），单位价值100万元以上大型设备0台（套）。</w:t>
      </w:r>
    </w:p>
    <w:p>
      <w:pPr>
        <w:keepNext w:val="0"/>
        <w:keepLines w:val="0"/>
        <w:pageBreakBefore w:val="0"/>
        <w:kinsoku/>
        <w:wordWrap/>
        <w:overflowPunct/>
        <w:topLinePunct w:val="0"/>
        <w:bidi w:val="0"/>
        <w:snapToGrid/>
        <w:spacing w:line="560" w:lineRule="exact"/>
        <w:ind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其他需要说明的情况</w:t>
      </w:r>
    </w:p>
    <w:p>
      <w:pPr>
        <w:keepNext w:val="0"/>
        <w:keepLines w:val="0"/>
        <w:pageBreakBefore w:val="0"/>
        <w:kinsoku/>
        <w:wordWrap/>
        <w:overflowPunct/>
        <w:topLinePunct w:val="0"/>
        <w:bidi w:val="0"/>
        <w:snapToGrid/>
        <w:spacing w:line="560" w:lineRule="exact"/>
        <w:ind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1、本部门2017年度国有资本经营预算财政拨款和政府采购无收支及结转结余情况，故国有资本经营预算财政拨款支出决算表和政府采购情况表以空表列示。</w:t>
      </w:r>
    </w:p>
    <w:p>
      <w:pPr>
        <w:keepNext w:val="0"/>
        <w:keepLines w:val="0"/>
        <w:pageBreakBefore w:val="0"/>
        <w:kinsoku/>
        <w:wordWrap/>
        <w:overflowPunct/>
        <w:topLinePunct w:val="0"/>
        <w:bidi w:val="0"/>
        <w:snapToGrid/>
        <w:spacing w:line="560" w:lineRule="exact"/>
        <w:ind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2、由于决算公开表格中金额数值应当保留两位小数，公开数据为四舍五入计算结果，个别数据合计项与分项之和存在小数点后差额，特此说明。</w:t>
      </w:r>
    </w:p>
    <w:p>
      <w:pPr>
        <w:pStyle w:val="6"/>
        <w:keepNext w:val="0"/>
        <w:keepLines w:val="0"/>
        <w:pageBreakBefore w:val="0"/>
        <w:shd w:val="clear" w:color="auto" w:fill="FFFFFF"/>
        <w:kinsoku/>
        <w:wordWrap/>
        <w:overflowPunct/>
        <w:topLinePunct w:val="0"/>
        <w:bidi w:val="0"/>
        <w:snapToGrid/>
        <w:spacing w:before="0" w:beforeAutospacing="0" w:after="0" w:afterAutospacing="0" w:line="560" w:lineRule="exact"/>
        <w:ind w:firstLine="645"/>
        <w:textAlignment w:val="auto"/>
        <w:rPr>
          <w:rFonts w:ascii="黑体" w:hAnsi="黑体" w:eastAsia="黑体" w:cs="Times New Roman"/>
          <w:sz w:val="32"/>
          <w:szCs w:val="32"/>
        </w:rPr>
      </w:pPr>
      <w:r>
        <w:rPr>
          <w:rFonts w:hint="eastAsia" w:ascii="黑体" w:hAnsi="黑体" w:eastAsia="黑体" w:cs="黑体"/>
          <w:sz w:val="32"/>
          <w:szCs w:val="32"/>
          <w:lang w:eastAsia="zh-CN"/>
        </w:rPr>
        <w:t>第</w:t>
      </w:r>
      <w:r>
        <w:rPr>
          <w:rFonts w:hint="eastAsia" w:ascii="黑体" w:hAnsi="黑体" w:eastAsia="黑体" w:cs="黑体"/>
          <w:sz w:val="32"/>
          <w:szCs w:val="32"/>
        </w:rPr>
        <w:t>四</w:t>
      </w:r>
      <w:r>
        <w:rPr>
          <w:rFonts w:hint="eastAsia" w:ascii="黑体" w:hAnsi="黑体" w:eastAsia="黑体" w:cs="黑体"/>
          <w:sz w:val="32"/>
          <w:szCs w:val="32"/>
          <w:lang w:eastAsia="zh-CN"/>
        </w:rPr>
        <w:t>部分</w:t>
      </w:r>
      <w:r>
        <w:rPr>
          <w:rFonts w:hint="eastAsia" w:ascii="黑体" w:hAnsi="黑体" w:eastAsia="黑体" w:cs="黑体"/>
          <w:sz w:val="32"/>
          <w:szCs w:val="32"/>
        </w:rPr>
        <w:t>、名词解释</w:t>
      </w:r>
    </w:p>
    <w:p>
      <w:pPr>
        <w:keepNext w:val="0"/>
        <w:keepLines w:val="0"/>
        <w:pageBreakBefore w:val="0"/>
        <w:kinsoku/>
        <w:wordWrap/>
        <w:overflowPunct/>
        <w:topLinePunct w:val="0"/>
        <w:bidi w:val="0"/>
        <w:snapToGrid/>
        <w:spacing w:line="560" w:lineRule="exact"/>
        <w:ind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（一）事业收入：指事业单位开展专业业务活动及辅助活动所取得的收入。</w:t>
      </w:r>
    </w:p>
    <w:p>
      <w:pPr>
        <w:keepNext w:val="0"/>
        <w:keepLines w:val="0"/>
        <w:pageBreakBefore w:val="0"/>
        <w:kinsoku/>
        <w:wordWrap/>
        <w:overflowPunct/>
        <w:topLinePunct w:val="0"/>
        <w:bidi w:val="0"/>
        <w:snapToGrid/>
        <w:spacing w:line="560" w:lineRule="exact"/>
        <w:ind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（二）其他收入：指除上述“财政拨款收入”、“事业收入”、“经营收入”等以外的收入。</w:t>
      </w:r>
    </w:p>
    <w:p>
      <w:pPr>
        <w:keepNext w:val="0"/>
        <w:keepLines w:val="0"/>
        <w:pageBreakBefore w:val="0"/>
        <w:kinsoku/>
        <w:wordWrap/>
        <w:overflowPunct/>
        <w:topLinePunct w:val="0"/>
        <w:bidi w:val="0"/>
        <w:snapToGrid/>
        <w:spacing w:line="560" w:lineRule="exact"/>
        <w:ind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（三）年初结转和结余：指以前年度尚未完成、结转到本年仍按原规定用途继续使用的资金，或项目已完成等产生的结余资金。</w:t>
      </w:r>
    </w:p>
    <w:p>
      <w:pPr>
        <w:keepNext w:val="0"/>
        <w:keepLines w:val="0"/>
        <w:pageBreakBefore w:val="0"/>
        <w:kinsoku/>
        <w:wordWrap/>
        <w:overflowPunct/>
        <w:topLinePunct w:val="0"/>
        <w:bidi w:val="0"/>
        <w:snapToGrid/>
        <w:spacing w:line="560" w:lineRule="exact"/>
        <w:ind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（四）结余分配：指事业单位按照事业单位会计制度的规定从非财政补助结余中分配的事业基金和职工福利基金等。</w:t>
      </w:r>
    </w:p>
    <w:p>
      <w:pPr>
        <w:keepNext w:val="0"/>
        <w:keepLines w:val="0"/>
        <w:pageBreakBefore w:val="0"/>
        <w:kinsoku/>
        <w:wordWrap/>
        <w:overflowPunct/>
        <w:topLinePunct w:val="0"/>
        <w:bidi w:val="0"/>
        <w:snapToGrid/>
        <w:spacing w:line="560" w:lineRule="exact"/>
        <w:ind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（五）年末结转和结余：指单位按有关规定结转到下年或以后年度继续使用的资金，或项目已完成等产生的结余资金。</w:t>
      </w:r>
    </w:p>
    <w:p>
      <w:pPr>
        <w:keepNext w:val="0"/>
        <w:keepLines w:val="0"/>
        <w:pageBreakBefore w:val="0"/>
        <w:kinsoku/>
        <w:wordWrap/>
        <w:overflowPunct/>
        <w:topLinePunct w:val="0"/>
        <w:bidi w:val="0"/>
        <w:snapToGrid/>
        <w:spacing w:line="560" w:lineRule="exact"/>
        <w:ind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（六）基本支出：填列单位为保障机构正常运转、完成日常工作任务而发生的各项支出。</w:t>
      </w:r>
    </w:p>
    <w:p>
      <w:pPr>
        <w:keepNext w:val="0"/>
        <w:keepLines w:val="0"/>
        <w:pageBreakBefore w:val="0"/>
        <w:kinsoku/>
        <w:wordWrap/>
        <w:overflowPunct/>
        <w:topLinePunct w:val="0"/>
        <w:bidi w:val="0"/>
        <w:snapToGrid/>
        <w:spacing w:line="560" w:lineRule="exact"/>
        <w:ind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（七）项目支出：填列单位为完成特定的行政工作任务或事业发展目标，在基本支出之外发生的各项支出</w:t>
      </w:r>
    </w:p>
    <w:p>
      <w:pPr>
        <w:keepNext w:val="0"/>
        <w:keepLines w:val="0"/>
        <w:pageBreakBefore w:val="0"/>
        <w:kinsoku/>
        <w:wordWrap/>
        <w:overflowPunct/>
        <w:topLinePunct w:val="0"/>
        <w:bidi w:val="0"/>
        <w:snapToGrid/>
        <w:spacing w:line="560" w:lineRule="exact"/>
        <w:ind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（八）其他资本性支出：填列由各级非发展与改革部门集中安排的用于购置固定资产、战备性和应急性储备、土地和无形资产，以及购建基础设施、大型修缮和财政支持企业更新改造所发生的支出。</w:t>
      </w:r>
    </w:p>
    <w:p>
      <w:pPr>
        <w:keepNext w:val="0"/>
        <w:keepLines w:val="0"/>
        <w:pageBreakBefore w:val="0"/>
        <w:kinsoku/>
        <w:wordWrap/>
        <w:overflowPunct/>
        <w:topLinePunct w:val="0"/>
        <w:bidi w:val="0"/>
        <w:snapToGrid/>
        <w:spacing w:line="560" w:lineRule="exact"/>
        <w:ind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九）“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待费反映单位按规定开支的各类公务接待（含外宾接待）支出。</w:t>
      </w:r>
    </w:p>
    <w:p>
      <w:pPr>
        <w:keepNext w:val="0"/>
        <w:keepLines w:val="0"/>
        <w:pageBreakBefore w:val="0"/>
        <w:kinsoku/>
        <w:wordWrap/>
        <w:overflowPunct/>
        <w:topLinePunct w:val="0"/>
        <w:bidi w:val="0"/>
        <w:snapToGrid/>
        <w:spacing w:line="560" w:lineRule="exact"/>
        <w:ind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（十）公务用车购置：填列单位公务用车车辆购置支出（含车辆购置税）。</w:t>
      </w:r>
    </w:p>
    <w:p>
      <w:pPr>
        <w:keepNext w:val="0"/>
        <w:keepLines w:val="0"/>
        <w:pageBreakBefore w:val="0"/>
        <w:kinsoku/>
        <w:wordWrap/>
        <w:overflowPunct/>
        <w:topLinePunct w:val="0"/>
        <w:bidi w:val="0"/>
        <w:snapToGrid/>
        <w:spacing w:line="560" w:lineRule="exact"/>
        <w:ind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（十一） 机关运行经费：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keepNext w:val="0"/>
        <w:keepLines w:val="0"/>
        <w:pageBreakBefore w:val="0"/>
        <w:kinsoku/>
        <w:wordWrap/>
        <w:overflowPunct/>
        <w:topLinePunct w:val="0"/>
        <w:bidi w:val="0"/>
        <w:snapToGrid/>
        <w:spacing w:line="560" w:lineRule="exact"/>
        <w:ind w:firstLine="640" w:firstLineChars="200"/>
        <w:textAlignment w:val="auto"/>
        <w:rPr>
          <w:rFonts w:hint="eastAsia" w:ascii="仿宋_GB2312" w:hAnsi="仿宋" w:eastAsia="仿宋_GB2312"/>
          <w:sz w:val="32"/>
          <w:szCs w:val="32"/>
          <w:lang w:val="en-US" w:eastAsia="zh-CN"/>
        </w:rPr>
      </w:pPr>
    </w:p>
    <w:sectPr>
      <w:pgSz w:w="16838" w:h="11906" w:orient="landscape"/>
      <w:pgMar w:top="1588" w:right="1474" w:bottom="1588"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altName w:val="Arial Unicode MS"/>
    <w:panose1 w:val="02010609060101010101"/>
    <w:charset w:val="86"/>
    <w:family w:val="modern"/>
    <w:pitch w:val="default"/>
    <w:sig w:usb0="00000000" w:usb1="00000000" w:usb2="00000016" w:usb3="00000000" w:csb0="00040001" w:csb1="00000000"/>
  </w:font>
  <w:font w:name="楷体">
    <w:altName w:val="楷体_GB2312"/>
    <w:panose1 w:val="02010609060101010101"/>
    <w:charset w:val="86"/>
    <w:family w:val="modern"/>
    <w:pitch w:val="default"/>
    <w:sig w:usb0="00000000" w:usb1="00000000" w:usb2="00000016" w:usb3="00000000" w:csb0="00040001" w:csb1="00000000"/>
  </w:font>
  <w:font w:name="方正小标宋_GBK">
    <w:altName w:val="宋体"/>
    <w:panose1 w:val="00000000000000000000"/>
    <w:charset w:val="86"/>
    <w:family w:val="roman"/>
    <w:pitch w:val="default"/>
    <w:sig w:usb0="00000000" w:usb1="00000000" w:usb2="00000010" w:usb3="00000000" w:csb0="00040000" w:csb1="00000000"/>
  </w:font>
  <w:font w:name="楷体_GB2312">
    <w:panose1 w:val="0201060903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94707D8"/>
    <w:multiLevelType w:val="singleLevel"/>
    <w:tmpl w:val="994707D8"/>
    <w:lvl w:ilvl="0" w:tentative="0">
      <w:start w:val="4"/>
      <w:numFmt w:val="chineseCounting"/>
      <w:suff w:val="nothing"/>
      <w:lvlText w:val="%1、"/>
      <w:lvlJc w:val="left"/>
      <w:rPr>
        <w:rFonts w:hint="eastAsia"/>
      </w:rPr>
    </w:lvl>
  </w:abstractNum>
  <w:abstractNum w:abstractNumId="1">
    <w:nsid w:val="9F521B7B"/>
    <w:multiLevelType w:val="singleLevel"/>
    <w:tmpl w:val="9F521B7B"/>
    <w:lvl w:ilvl="0" w:tentative="0">
      <w:start w:val="2"/>
      <w:numFmt w:val="chineseCounting"/>
      <w:suff w:val="nothing"/>
      <w:lvlText w:val="第%1部分、"/>
      <w:lvlJc w:val="left"/>
      <w:rPr>
        <w:rFonts w:hint="eastAsia"/>
      </w:rPr>
    </w:lvl>
  </w:abstractNum>
  <w:abstractNum w:abstractNumId="2">
    <w:nsid w:val="AE622F62"/>
    <w:multiLevelType w:val="singleLevel"/>
    <w:tmpl w:val="AE622F62"/>
    <w:lvl w:ilvl="0" w:tentative="0">
      <w:start w:val="2"/>
      <w:numFmt w:val="chineseCounting"/>
      <w:suff w:val="nothing"/>
      <w:lvlText w:val="（%1）"/>
      <w:lvlJc w:val="left"/>
      <w:pPr>
        <w:ind w:left="642" w:leftChars="0" w:firstLine="0" w:firstLineChars="0"/>
      </w:pPr>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oNotHyphenateCaps/>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032"/>
    <w:rsid w:val="0001464E"/>
    <w:rsid w:val="00035B59"/>
    <w:rsid w:val="00037AF6"/>
    <w:rsid w:val="00040997"/>
    <w:rsid w:val="000424DE"/>
    <w:rsid w:val="00045A61"/>
    <w:rsid w:val="00053790"/>
    <w:rsid w:val="000556CE"/>
    <w:rsid w:val="00063B2E"/>
    <w:rsid w:val="00075D5F"/>
    <w:rsid w:val="0009672E"/>
    <w:rsid w:val="000B568F"/>
    <w:rsid w:val="000C3A19"/>
    <w:rsid w:val="000C725E"/>
    <w:rsid w:val="000D35AA"/>
    <w:rsid w:val="000D4CF3"/>
    <w:rsid w:val="000F253C"/>
    <w:rsid w:val="00101751"/>
    <w:rsid w:val="001245BB"/>
    <w:rsid w:val="0013721D"/>
    <w:rsid w:val="00153D0B"/>
    <w:rsid w:val="001544CD"/>
    <w:rsid w:val="00160C6C"/>
    <w:rsid w:val="001704DA"/>
    <w:rsid w:val="00183B19"/>
    <w:rsid w:val="0018479D"/>
    <w:rsid w:val="00185FC7"/>
    <w:rsid w:val="001B369F"/>
    <w:rsid w:val="001D2ED3"/>
    <w:rsid w:val="001E62D1"/>
    <w:rsid w:val="001F55D2"/>
    <w:rsid w:val="00201986"/>
    <w:rsid w:val="00206BF3"/>
    <w:rsid w:val="002102F7"/>
    <w:rsid w:val="00217F5F"/>
    <w:rsid w:val="0022374F"/>
    <w:rsid w:val="00241FD4"/>
    <w:rsid w:val="00247064"/>
    <w:rsid w:val="00251B12"/>
    <w:rsid w:val="002527BD"/>
    <w:rsid w:val="0025682C"/>
    <w:rsid w:val="0026133F"/>
    <w:rsid w:val="00262359"/>
    <w:rsid w:val="002645FB"/>
    <w:rsid w:val="00291731"/>
    <w:rsid w:val="00296113"/>
    <w:rsid w:val="002C29FB"/>
    <w:rsid w:val="002C6D9E"/>
    <w:rsid w:val="002D494F"/>
    <w:rsid w:val="002E38C5"/>
    <w:rsid w:val="002E4E63"/>
    <w:rsid w:val="002F1E7A"/>
    <w:rsid w:val="002F3E58"/>
    <w:rsid w:val="0030542C"/>
    <w:rsid w:val="00311B7A"/>
    <w:rsid w:val="0031584D"/>
    <w:rsid w:val="00330320"/>
    <w:rsid w:val="003573FB"/>
    <w:rsid w:val="00376299"/>
    <w:rsid w:val="003A4FAA"/>
    <w:rsid w:val="003B33A8"/>
    <w:rsid w:val="003B581D"/>
    <w:rsid w:val="003C5530"/>
    <w:rsid w:val="003E1A7F"/>
    <w:rsid w:val="00424BA8"/>
    <w:rsid w:val="004316A4"/>
    <w:rsid w:val="00451871"/>
    <w:rsid w:val="00472923"/>
    <w:rsid w:val="00492214"/>
    <w:rsid w:val="004A26A8"/>
    <w:rsid w:val="004C61E8"/>
    <w:rsid w:val="004C68E4"/>
    <w:rsid w:val="004D4B44"/>
    <w:rsid w:val="004E2CD4"/>
    <w:rsid w:val="004E3066"/>
    <w:rsid w:val="004E74CD"/>
    <w:rsid w:val="00501BA3"/>
    <w:rsid w:val="00502C2F"/>
    <w:rsid w:val="00523E71"/>
    <w:rsid w:val="00526108"/>
    <w:rsid w:val="00526EBA"/>
    <w:rsid w:val="0056274F"/>
    <w:rsid w:val="00573562"/>
    <w:rsid w:val="00581BF9"/>
    <w:rsid w:val="005947F7"/>
    <w:rsid w:val="00596B87"/>
    <w:rsid w:val="005C305F"/>
    <w:rsid w:val="005F0EA4"/>
    <w:rsid w:val="005F44D2"/>
    <w:rsid w:val="006105C9"/>
    <w:rsid w:val="00614A29"/>
    <w:rsid w:val="00623272"/>
    <w:rsid w:val="00625B9C"/>
    <w:rsid w:val="0062743C"/>
    <w:rsid w:val="00646700"/>
    <w:rsid w:val="006468B0"/>
    <w:rsid w:val="006475F8"/>
    <w:rsid w:val="0065214D"/>
    <w:rsid w:val="00674E68"/>
    <w:rsid w:val="00675EB8"/>
    <w:rsid w:val="006A0B33"/>
    <w:rsid w:val="006A4B91"/>
    <w:rsid w:val="006A6EFB"/>
    <w:rsid w:val="006B1100"/>
    <w:rsid w:val="006C1323"/>
    <w:rsid w:val="006C5021"/>
    <w:rsid w:val="006D6F71"/>
    <w:rsid w:val="006F227A"/>
    <w:rsid w:val="0070101A"/>
    <w:rsid w:val="00704619"/>
    <w:rsid w:val="0071444A"/>
    <w:rsid w:val="00715127"/>
    <w:rsid w:val="007431E8"/>
    <w:rsid w:val="0075393C"/>
    <w:rsid w:val="00755FD9"/>
    <w:rsid w:val="00776C08"/>
    <w:rsid w:val="00792D69"/>
    <w:rsid w:val="00796358"/>
    <w:rsid w:val="007B4EE0"/>
    <w:rsid w:val="007C0AED"/>
    <w:rsid w:val="007E1DA8"/>
    <w:rsid w:val="007F21F3"/>
    <w:rsid w:val="007F6ADB"/>
    <w:rsid w:val="007F6C26"/>
    <w:rsid w:val="00807E22"/>
    <w:rsid w:val="00822115"/>
    <w:rsid w:val="00827E9F"/>
    <w:rsid w:val="008334AE"/>
    <w:rsid w:val="00836FED"/>
    <w:rsid w:val="00845CD2"/>
    <w:rsid w:val="008502D8"/>
    <w:rsid w:val="0085290D"/>
    <w:rsid w:val="00852B0D"/>
    <w:rsid w:val="00860DE2"/>
    <w:rsid w:val="008624D2"/>
    <w:rsid w:val="00872A1E"/>
    <w:rsid w:val="0087549F"/>
    <w:rsid w:val="00881692"/>
    <w:rsid w:val="008851A4"/>
    <w:rsid w:val="008B3CC5"/>
    <w:rsid w:val="008B67B2"/>
    <w:rsid w:val="008C2BAF"/>
    <w:rsid w:val="008C2F6A"/>
    <w:rsid w:val="008C38BE"/>
    <w:rsid w:val="008C43DE"/>
    <w:rsid w:val="008E4261"/>
    <w:rsid w:val="008F4662"/>
    <w:rsid w:val="00905D08"/>
    <w:rsid w:val="00914A76"/>
    <w:rsid w:val="009156EB"/>
    <w:rsid w:val="00925753"/>
    <w:rsid w:val="00927519"/>
    <w:rsid w:val="00945C2B"/>
    <w:rsid w:val="00946809"/>
    <w:rsid w:val="00961859"/>
    <w:rsid w:val="00966C5C"/>
    <w:rsid w:val="00973104"/>
    <w:rsid w:val="00977FBC"/>
    <w:rsid w:val="009870E1"/>
    <w:rsid w:val="009A0AE8"/>
    <w:rsid w:val="009A7AA7"/>
    <w:rsid w:val="009C2175"/>
    <w:rsid w:val="009D2E46"/>
    <w:rsid w:val="009D5BDC"/>
    <w:rsid w:val="00A00A82"/>
    <w:rsid w:val="00A0599F"/>
    <w:rsid w:val="00A05AEF"/>
    <w:rsid w:val="00A1790E"/>
    <w:rsid w:val="00A17B4B"/>
    <w:rsid w:val="00A704C4"/>
    <w:rsid w:val="00A72D2E"/>
    <w:rsid w:val="00A817FC"/>
    <w:rsid w:val="00A86850"/>
    <w:rsid w:val="00A911E7"/>
    <w:rsid w:val="00A939D9"/>
    <w:rsid w:val="00A95624"/>
    <w:rsid w:val="00AA1654"/>
    <w:rsid w:val="00AA1833"/>
    <w:rsid w:val="00AB158A"/>
    <w:rsid w:val="00AD35A6"/>
    <w:rsid w:val="00AF1EBA"/>
    <w:rsid w:val="00B07267"/>
    <w:rsid w:val="00B1390C"/>
    <w:rsid w:val="00B20712"/>
    <w:rsid w:val="00B22500"/>
    <w:rsid w:val="00B356C5"/>
    <w:rsid w:val="00B43238"/>
    <w:rsid w:val="00B75216"/>
    <w:rsid w:val="00B80921"/>
    <w:rsid w:val="00B91D52"/>
    <w:rsid w:val="00BA1ACD"/>
    <w:rsid w:val="00BD108D"/>
    <w:rsid w:val="00BD49C5"/>
    <w:rsid w:val="00C01D9F"/>
    <w:rsid w:val="00C1458A"/>
    <w:rsid w:val="00C47493"/>
    <w:rsid w:val="00C5419A"/>
    <w:rsid w:val="00C60250"/>
    <w:rsid w:val="00C62EA6"/>
    <w:rsid w:val="00C80207"/>
    <w:rsid w:val="00C90F19"/>
    <w:rsid w:val="00C962E9"/>
    <w:rsid w:val="00CA0697"/>
    <w:rsid w:val="00CA7176"/>
    <w:rsid w:val="00CC2D95"/>
    <w:rsid w:val="00CC7AA8"/>
    <w:rsid w:val="00CD2773"/>
    <w:rsid w:val="00CE143B"/>
    <w:rsid w:val="00D00E6A"/>
    <w:rsid w:val="00D95ADC"/>
    <w:rsid w:val="00DD0B08"/>
    <w:rsid w:val="00DF45ED"/>
    <w:rsid w:val="00E1637F"/>
    <w:rsid w:val="00E167C7"/>
    <w:rsid w:val="00E91838"/>
    <w:rsid w:val="00EA7A52"/>
    <w:rsid w:val="00EC07F9"/>
    <w:rsid w:val="00EC2D2C"/>
    <w:rsid w:val="00EC3092"/>
    <w:rsid w:val="00EC47F6"/>
    <w:rsid w:val="00EE1B43"/>
    <w:rsid w:val="00EE57B3"/>
    <w:rsid w:val="00EF3F35"/>
    <w:rsid w:val="00F153EF"/>
    <w:rsid w:val="00F35E69"/>
    <w:rsid w:val="00F45B34"/>
    <w:rsid w:val="00F60285"/>
    <w:rsid w:val="00F66032"/>
    <w:rsid w:val="00F91D36"/>
    <w:rsid w:val="00F958C2"/>
    <w:rsid w:val="00FE1D50"/>
    <w:rsid w:val="01160F2D"/>
    <w:rsid w:val="044C0BE3"/>
    <w:rsid w:val="05721C4B"/>
    <w:rsid w:val="0A817E2B"/>
    <w:rsid w:val="0DD46B14"/>
    <w:rsid w:val="16607185"/>
    <w:rsid w:val="16B32051"/>
    <w:rsid w:val="1C087D84"/>
    <w:rsid w:val="1EE44963"/>
    <w:rsid w:val="2AF75B93"/>
    <w:rsid w:val="31F074EE"/>
    <w:rsid w:val="35363767"/>
    <w:rsid w:val="37166698"/>
    <w:rsid w:val="3D8F6F83"/>
    <w:rsid w:val="43DF0C0F"/>
    <w:rsid w:val="4489781A"/>
    <w:rsid w:val="44B334BC"/>
    <w:rsid w:val="46C62BD1"/>
    <w:rsid w:val="471E5D33"/>
    <w:rsid w:val="48667523"/>
    <w:rsid w:val="4C4051BE"/>
    <w:rsid w:val="4CBB2297"/>
    <w:rsid w:val="520D4AB9"/>
    <w:rsid w:val="58252BF0"/>
    <w:rsid w:val="5BCD0F3F"/>
    <w:rsid w:val="5C9364BE"/>
    <w:rsid w:val="629D2D3C"/>
    <w:rsid w:val="64A90959"/>
    <w:rsid w:val="650E769C"/>
    <w:rsid w:val="65247299"/>
    <w:rsid w:val="66796448"/>
    <w:rsid w:val="68EA15BF"/>
    <w:rsid w:val="6D511096"/>
    <w:rsid w:val="709B468A"/>
    <w:rsid w:val="7290077B"/>
    <w:rsid w:val="74F03112"/>
    <w:rsid w:val="75577E9F"/>
    <w:rsid w:val="7AC155BA"/>
    <w:rsid w:val="7D6C5D7A"/>
    <w:rsid w:val="7EFD520C"/>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name="toc 1"/>
    <w:lsdException w:qFormat="1" w:unhideWhenUsed="0" w:uiPriority="99" w:name="toc 2"/>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7">
    <w:name w:val="Default Paragraph Font"/>
    <w:semiHidden/>
    <w:uiPriority w:val="99"/>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qFormat/>
    <w:uiPriority w:val="99"/>
    <w:pPr>
      <w:tabs>
        <w:tab w:val="center" w:pos="4153"/>
        <w:tab w:val="right" w:pos="8306"/>
      </w:tabs>
      <w:snapToGrid w:val="0"/>
      <w:jc w:val="left"/>
    </w:pPr>
    <w:rPr>
      <w:rFonts w:ascii="Times New Roman" w:hAnsi="Times New Roman" w:cs="Times New Roman"/>
      <w:sz w:val="18"/>
      <w:szCs w:val="18"/>
    </w:rPr>
  </w:style>
  <w:style w:type="paragraph" w:styleId="3">
    <w:name w:val="header"/>
    <w:basedOn w:val="1"/>
    <w:link w:val="10"/>
    <w:qFormat/>
    <w:uiPriority w:val="99"/>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4">
    <w:name w:val="toc 1"/>
    <w:basedOn w:val="1"/>
    <w:next w:val="1"/>
    <w:semiHidden/>
    <w:qFormat/>
    <w:uiPriority w:val="99"/>
    <w:rPr>
      <w:rFonts w:ascii="Times New Roman" w:hAnsi="Times New Roman" w:cs="Times New Roman"/>
    </w:rPr>
  </w:style>
  <w:style w:type="paragraph" w:styleId="5">
    <w:name w:val="toc 2"/>
    <w:basedOn w:val="1"/>
    <w:next w:val="1"/>
    <w:semiHidden/>
    <w:qFormat/>
    <w:uiPriority w:val="99"/>
    <w:pPr>
      <w:ind w:left="420" w:leftChars="200"/>
    </w:pPr>
    <w:rPr>
      <w:rFonts w:ascii="Times New Roman" w:hAnsi="Times New Roman" w:cs="Times New Roman"/>
    </w:rPr>
  </w:style>
  <w:style w:type="paragraph" w:styleId="6">
    <w:name w:val="Normal (Web)"/>
    <w:basedOn w:val="1"/>
    <w:semiHidden/>
    <w:qFormat/>
    <w:uiPriority w:val="99"/>
    <w:pPr>
      <w:widowControl/>
      <w:spacing w:before="100" w:beforeAutospacing="1" w:after="100" w:afterAutospacing="1"/>
      <w:jc w:val="left"/>
    </w:pPr>
    <w:rPr>
      <w:rFonts w:ascii="宋体" w:hAnsi="宋体" w:cs="宋体"/>
      <w:kern w:val="0"/>
      <w:sz w:val="24"/>
      <w:szCs w:val="24"/>
    </w:rPr>
  </w:style>
  <w:style w:type="character" w:customStyle="1" w:styleId="9">
    <w:name w:val="Footer Char"/>
    <w:basedOn w:val="7"/>
    <w:link w:val="2"/>
    <w:qFormat/>
    <w:locked/>
    <w:uiPriority w:val="99"/>
    <w:rPr>
      <w:rFonts w:ascii="Times New Roman" w:hAnsi="Times New Roman" w:eastAsia="宋体" w:cs="Times New Roman"/>
      <w:sz w:val="18"/>
      <w:szCs w:val="18"/>
    </w:rPr>
  </w:style>
  <w:style w:type="character" w:customStyle="1" w:styleId="10">
    <w:name w:val="Header Char"/>
    <w:basedOn w:val="7"/>
    <w:link w:val="3"/>
    <w:qFormat/>
    <w:locked/>
    <w:uiPriority w:val="99"/>
    <w:rPr>
      <w:rFonts w:ascii="Times New Roman" w:hAnsi="Times New Roman" w:eastAsia="宋体" w:cs="Times New Roman"/>
      <w:sz w:val="18"/>
      <w:szCs w:val="18"/>
    </w:rPr>
  </w:style>
  <w:style w:type="character" w:customStyle="1" w:styleId="11">
    <w:name w:val="apple-converted-space"/>
    <w:basedOn w:val="7"/>
    <w:qFormat/>
    <w:uiPriority w:val="99"/>
  </w:style>
  <w:style w:type="paragraph" w:customStyle="1" w:styleId="12">
    <w:name w:val="p0"/>
    <w:basedOn w:val="1"/>
    <w:qFormat/>
    <w:uiPriority w:val="99"/>
    <w:pPr>
      <w:widowControl/>
      <w:jc w:val="left"/>
    </w:pPr>
    <w:rPr>
      <w:rFonts w:ascii="宋体" w:hAnsi="宋体" w:cs="宋体"/>
      <w:kern w:val="0"/>
      <w:sz w:val="24"/>
      <w:szCs w:val="24"/>
    </w:rPr>
  </w:style>
  <w:style w:type="paragraph" w:styleId="1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chart" Target="charts/chart2.xml"/><Relationship Id="rId4" Type="http://schemas.openxmlformats.org/officeDocument/2006/relationships/chart" Target="charts/chart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销售额</c:v>
                </c:pt>
              </c:strCache>
            </c:strRef>
          </c:tx>
          <c:spPr>
            <a:solidFill>
              <a:schemeClr val="accent1">
                <a:alpha val="84000"/>
              </a:schemeClr>
            </a:solidFill>
          </c:spPr>
          <c:explosion val="0"/>
          <c:dPt>
            <c:idx val="0"/>
            <c:bubble3D val="0"/>
            <c:spPr>
              <a:solidFill>
                <a:schemeClr val="accent1">
                  <a:alpha val="84000"/>
                </a:schemeClr>
              </a:solidFill>
              <a:ln w="19050">
                <a:solidFill>
                  <a:schemeClr val="lt1"/>
                </a:solidFill>
              </a:ln>
              <a:effectLst/>
            </c:spPr>
          </c:dPt>
          <c:dPt>
            <c:idx val="1"/>
            <c:bubble3D val="0"/>
            <c:spPr>
              <a:solidFill>
                <a:schemeClr val="accent1">
                  <a:alpha val="84000"/>
                </a:schemeClr>
              </a:solidFill>
              <a:ln w="19050">
                <a:solidFill>
                  <a:schemeClr val="lt1"/>
                </a:solidFill>
              </a:ln>
              <a:effectLst/>
            </c:spPr>
          </c:dPt>
          <c:dPt>
            <c:idx val="2"/>
            <c:bubble3D val="0"/>
            <c:spPr>
              <a:solidFill>
                <a:schemeClr val="accent1">
                  <a:alpha val="84000"/>
                </a:schemeClr>
              </a:solidFill>
              <a:ln w="19050">
                <a:solidFill>
                  <a:schemeClr val="lt1"/>
                </a:solidFill>
              </a:ln>
              <a:effectLst/>
            </c:spPr>
          </c:dPt>
          <c:dPt>
            <c:idx val="3"/>
            <c:bubble3D val="0"/>
            <c:spPr>
              <a:solidFill>
                <a:schemeClr val="accent1">
                  <a:alpha val="84000"/>
                </a:schemeClr>
              </a:solidFill>
              <a:ln w="19050">
                <a:solidFill>
                  <a:schemeClr val="lt1"/>
                </a:solidFill>
              </a:ln>
              <a:effectLst/>
            </c:spPr>
          </c:dPt>
          <c:dLbls>
            <c:dLbl>
              <c:idx val="0"/>
              <c:layout>
                <c:manualLayout>
                  <c:x val="0.00925711640823883"/>
                  <c:y val="-0.440779617004696"/>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rPr sz="1400"/>
                      <a:t>100</a:t>
                    </a:r>
                    <a:r>
                      <a:rPr lang="en-US" altLang="zh-CN" sz="1400"/>
                      <a:t>%</a:t>
                    </a:r>
                    <a:endParaRPr lang="en-US" altLang="zh-CN" sz="1400"/>
                  </a:p>
                </c:rich>
              </c:tx>
              <c:dLblPos val="bestFit"/>
              <c:showLegendKey val="0"/>
              <c:showVal val="1"/>
              <c:showCatName val="0"/>
              <c:showSerName val="0"/>
              <c:showPercent val="0"/>
              <c:showBubbleSize val="0"/>
              <c:extLst>
                <c:ext xmlns:c15="http://schemas.microsoft.com/office/drawing/2012/chart" uri="{CE6537A1-D6FC-4f65-9D91-7224C49458BB}">
                  <c15:layout>
                    <c:manualLayout>
                      <c:w val="0.434853043277019"/>
                      <c:h val="0.42064264849075"/>
                    </c:manualLayout>
                  </c15:layout>
                </c:ext>
              </c:extLst>
            </c:dLbl>
            <c:dLbl>
              <c:idx val="1"/>
              <c:delete val="1"/>
            </c:dLbl>
            <c:dLbl>
              <c:idx val="2"/>
              <c:delete val="1"/>
            </c:dLbl>
            <c:dLbl>
              <c:idx val="3"/>
              <c:delete val="1"/>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0"/>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第一季度</c:v>
                </c:pt>
              </c:strCache>
            </c:strRef>
          </c:cat>
          <c:val>
            <c:numRef>
              <c:f>Sheet1!$B$2:$B$5</c:f>
              <c:numCache>
                <c:formatCode>General</c:formatCode>
                <c:ptCount val="4"/>
                <c:pt idx="0">
                  <c:v>100</c:v>
                </c:pt>
              </c:numCache>
            </c:numRef>
          </c:val>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销售额</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dLbl>
              <c:idx val="0"/>
              <c:layout>
                <c:manualLayout>
                  <c:x val="-0.122402949964864"/>
                  <c:y val="-0.341526340597078"/>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84,%</a:t>
                    </a:r>
                  </a:p>
                </c:rich>
              </c:tx>
              <c:dLblPos val="bestFit"/>
              <c:showLegendKey val="0"/>
              <c:showVal val="1"/>
              <c:showCatName val="0"/>
              <c:showSerName val="0"/>
              <c:showPercent val="1"/>
              <c:showBubbleSize val="0"/>
              <c:extLst>
                <c:ext xmlns:c15="http://schemas.microsoft.com/office/drawing/2012/chart" uri="{CE6537A1-D6FC-4f65-9D91-7224C49458BB}">
                  <c15:layout>
                    <c:manualLayout>
                      <c:w val="0.361633663366337"/>
                      <c:h val="0.401376833283448"/>
                    </c:manualLayout>
                  </c15:layout>
                </c:ext>
              </c:extLst>
            </c:dLbl>
            <c:dLbl>
              <c:idx val="1"/>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16,%</a:t>
                    </a:r>
                  </a:p>
                </c:rich>
              </c:tx>
              <c:dLblPos val="inEnd"/>
              <c:showLegendKey val="0"/>
              <c:showVal val="1"/>
              <c:showCatName val="0"/>
              <c:showSerName val="0"/>
              <c:showPercent val="1"/>
              <c:showBubbleSize val="0"/>
              <c:extLst>
                <c:ext xmlns:c15="http://schemas.microsoft.com/office/drawing/2012/chart" uri="{CE6537A1-D6FC-4f65-9D91-7224C49458BB}">
                  <c15:layout>
                    <c:manualLayout>
                      <c:w val="0.261633663366337"/>
                      <c:h val="0.261299012271775"/>
                    </c:manualLayout>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1"/>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第一季度</c:v>
                </c:pt>
                <c:pt idx="1">
                  <c:v>第二季度</c:v>
                </c:pt>
              </c:strCache>
            </c:strRef>
          </c:cat>
          <c:val>
            <c:numRef>
              <c:f>Sheet1!$B$2:$B$5</c:f>
              <c:numCache>
                <c:formatCode>General</c:formatCode>
                <c:ptCount val="4"/>
                <c:pt idx="0">
                  <c:v>84</c:v>
                </c:pt>
                <c:pt idx="1">
                  <c:v>16</c:v>
                </c:pt>
              </c:numCache>
            </c:numRef>
          </c:val>
        </c:ser>
        <c:dLbls>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Sky123.Org</Company>
  <Pages>10</Pages>
  <Words>571</Words>
  <Characters>3256</Characters>
  <Lines>0</Lines>
  <Paragraphs>0</Paragraphs>
  <TotalTime>16</TotalTime>
  <ScaleCrop>false</ScaleCrop>
  <LinksUpToDate>false</LinksUpToDate>
  <CharactersWithSpaces>0</CharactersWithSpaces>
  <Application>WPS Office_11.1.0.8213_F1E327BC-269C-435d-A152-05C5408002CA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2017-10-24T06:14:00Z</dcterms:created>
  <dc:creator>guest</dc:creator>
  <cp:lastModifiedBy>Administrator</cp:lastModifiedBy>
  <cp:lastPrinted>2017-10-28T05:29:00Z</cp:lastPrinted>
  <dcterms:modified xsi:type="dcterms:W3CDTF">2019-03-07T08:23:34Z</dcterms:modified>
  <dc:title>河北省廊坊市大厂回族自治县供销合作社</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2052-11.1.0.8213</vt:lpwstr>
  </property>
</Properties>
</file>